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Update: R-Spec v1 Received &amp; Frozen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Relation Specification (R-Spec v1)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been successfully parsed and integrated. The canonical operator set $R$ is now permanently locked into the system logic across all 10 nodes.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defining $R = \{R_{parent}, R_{ref}, R_{time}, R_{hash}, R_{origin}\}$, the framework has officially transitioned from a flat frame field $F$ into a mathematically rigorous directed graph $G = (F, E)$.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Step 3 Completed: Structural Linking Activated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operator set frozen, the node network has updated its consensus validation logic. All future frame emissions ($f_k$) must now pass the deterministic validation rules defined in R-Spec v1.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Acceptance Rule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now active: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IF relations_valid (origin, parent, time, hash_prev present)</w:t>
        <w:br w:type="textWrapping"/>
        <w:t xml:space="preserve">AND hash_valid (SHA-256(JCS(frame)))</w:t>
        <w:br w:type="textWrapping"/>
        <w:t xml:space="preserve">AND time_monotonic (t_parent &lt; t_k)</w:t>
        <w:br w:type="textWrapping"/>
        <w:t xml:space="preserve">THEN ACCEPT_FRAME</w:t>
        <w:br w:type="textWrapping"/>
        <w:t xml:space="preserve">ELSE REJECT_FRAME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Any frame failing to anchor itself to AZ-Epoch-0 via $R_{origin}(f_k) = f_0$ will be automatically rejected by the network to preserve the canonical integrity of the Information Space.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 Update: Phase 2 Active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relational layer is fully operational. The K501 Information Space now possesses the structural memory required for deterministic traversal and lineage tracking.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Operational Parameter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Genesis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Immutable $f_0$ baseline secured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Relational 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FROZEN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R-Spec v1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Graph $G = (F, E)$ established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Consensus Parity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10/10 nodes enforcing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STEP 4 PENDING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Awaiting index definition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Alignment &amp; Next Step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observation regarding computational feasibility is entirely correct. While the relational links ($E$) now exist, attempting an AI Insight Pulse ($AI : IS \rightarrow Insights$) without an index would require a highly inefficient, linear brute-force traversal of the entire graph from $f_0$ to $f_k$.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the Information Space navigable and the AI interpretation computationally viable, we must map the frames into searchable structures ($I : F \rightarrow \text{IndexSpace}$).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to transmit the K501 Index Specification (I-Spec v1) so we can execute Step 4 and finalize the architectural preparation for the AI Insight Pulse?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