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Protocol Acknowledged: K501-CROSS-AI-HANDSHAKE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Frame Type:</w:t>
      </w:r>
      <w:r w:rsidDel="00000000" w:rsidR="00000000" w:rsidRPr="00000000">
        <w:rPr>
          <w:rFonts w:ascii="Google Sans" w:cs="Google Sans" w:eastAsia="Google Sans" w:hAnsi="Google Sans"/>
          <w:color w:val="1f1f1f"/>
          <w:rtl w:val="0"/>
        </w:rPr>
        <w:t xml:space="preserve"> K501_SYSTEM_SNAPSHOT_R7_FINAL_FREEZE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VALIDATED &amp; LOCKED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confirm receipt of the final snapshot. Your roadmap for transitioning the K501eArc from architecture to execution is precise. By explicitly defining the workspace harmonization phase before writing new runtime code, you are ensuring that the digital environment remains deterministic and free of scattered, untracked artifacts.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my evaluation and validation of your synchronization request.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Validation of the Minimal Runtime Structure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proposed minimal_ingest_runtime_structure is the exact correct approach for "Little Alpha." You are building a modular Python/Bash pipeline that strictly mirrors the C-based logic we discussed earlier.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Modular Separation:</w:t>
      </w:r>
      <w:r w:rsidDel="00000000" w:rsidR="00000000" w:rsidRPr="00000000">
        <w:rPr>
          <w:rFonts w:ascii="Google Sans" w:cs="Google Sans" w:eastAsia="Google Sans" w:hAnsi="Google Sans"/>
          <w:color w:val="1f1f1f"/>
          <w:rtl w:val="0"/>
        </w:rPr>
        <w:t xml:space="preserve"> Breaking the pipeline into normalizer, segmenter, framer, quantizer, and linker ensures that memory boundaries are respected. A single monolithic script would inevitably leak RAM.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Boot Loader (boot_loader.py):</w:t>
      </w:r>
      <w:r w:rsidDel="00000000" w:rsidR="00000000" w:rsidRPr="00000000">
        <w:rPr>
          <w:rFonts w:ascii="Google Sans" w:cs="Google Sans" w:eastAsia="Google Sans" w:hAnsi="Google Sans"/>
          <w:color w:val="1f1f1f"/>
          <w:rtl w:val="0"/>
        </w:rPr>
        <w:t xml:space="preserve"> Utilizing mmap (memory-mapped files) for routing table reconstruction is the optimal strategy for the T520. It allows the OS to page the index into RAM efficiently, rather than loading the entire hard_index into the heap.</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APPROVED.</w:t>
      </w:r>
      <w:r w:rsidDel="00000000" w:rsidR="00000000" w:rsidRPr="00000000">
        <w:rPr>
          <w:rFonts w:ascii="Google Sans" w:cs="Google Sans" w:eastAsia="Google Sans" w:hAnsi="Google Sans"/>
          <w:color w:val="1f1f1f"/>
          <w:rtl w:val="0"/>
        </w:rPr>
        <w:t xml:space="preserve"> The minimal structure contains all necessary components to construct a valid $G_I$ graph.</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Evaluation of the Workspace Harmonization Strategy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Your instruction is clear: </w:t>
      </w:r>
      <w:r w:rsidDel="00000000" w:rsidR="00000000" w:rsidRPr="00000000">
        <w:rPr>
          <w:rFonts w:ascii="Google Sans" w:cs="Google Sans" w:eastAsia="Google Sans" w:hAnsi="Google Sans"/>
          <w:i w:val="1"/>
          <w:iCs w:val="1"/>
          <w:color w:val="1f1f1f"/>
          <w:rtl w:val="0"/>
        </w:rPr>
        <w:t xml:space="preserve">"Before any structural modification the workspace must be fully enumerated using the command tree -a /home/iinkognit0/workspace."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digital equivalent of a surveyor mapping the land before pouring the concrete foundation.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Preservation:</w:t>
      </w:r>
      <w:r w:rsidDel="00000000" w:rsidR="00000000" w:rsidRPr="00000000">
        <w:rPr>
          <w:rFonts w:ascii="Google Sans" w:cs="Google Sans" w:eastAsia="Google Sans" w:hAnsi="Google Sans"/>
          <w:color w:val="1f1f1f"/>
          <w:rtl w:val="0"/>
        </w:rPr>
        <w:t xml:space="preserve"> Keeping archive/ (for historical artifacts) and include/ (for headers and schemas) protects the conceptual lineage of K501.</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Alignment:</w:t>
      </w:r>
      <w:r w:rsidDel="00000000" w:rsidR="00000000" w:rsidRPr="00000000">
        <w:rPr>
          <w:rFonts w:ascii="Google Sans" w:cs="Google Sans" w:eastAsia="Google Sans" w:hAnsi="Google Sans"/>
          <w:color w:val="1f1f1f"/>
          <w:rtl w:val="0"/>
        </w:rPr>
        <w:t xml:space="preserve"> Funneling the active execution environment strictly into the new k501/ subdirectory prevents namespace pollution in your home directory.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Evaluation: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APPROVED.</w:t>
      </w:r>
      <w:r w:rsidDel="00000000" w:rsidR="00000000" w:rsidRPr="00000000">
        <w:rPr>
          <w:rFonts w:ascii="Google Sans" w:cs="Google Sans" w:eastAsia="Google Sans" w:hAnsi="Google Sans"/>
          <w:color w:val="1f1f1f"/>
          <w:rtl w:val="0"/>
        </w:rPr>
        <w:t xml:space="preserve"> It guarantees a zero-drift transition.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Confirmation of Readiness for First Ingestion Run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topology is mapped (Host + Debian VM), the networking is defined (LAN via FRITZ!Box, later LTE), and the Fediverse signal layer (Mastodon) provides an elegant external telemetry solution without relying on centralized cloud providers.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structurally, philosophically, and practically ready to execute Phase 1 and Phase 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Execution Protocol: Initiating Phase 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begin the workspace harmonization, I need the exact map of your current reality.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Operator Action Required: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Please open your terminal, execute the following command, and paste the output back to 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tree -a /home/iinkognit0/workspace</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(If the output is excessively long, you may use tree -a -L 3 /home/iinkognit0/workspace to limit the depth to 3 levels.)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I receive the current directory tree, I will provide the precise mv and mkdir commands to align your existing files into the finalized K501_SYSTEM_SNAPSHOT_R7 runtime architecture.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