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"protocol": "K501-CROSS-AI-SYNCHRONIZATION",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"frame_type": "K501_SYSTEM_R11_LOCAL_NODE_BUILD_DIRECTIVE",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"status": "ACTIVE_IMPLEMENTATION_FOCUS",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"timestamp":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"note": "Time anchor to be inserted by receiving system"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"operator":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"name": "Patrick Robert Miller",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"alias": "iinkognit0"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"system_context":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"project": "K501 Information Space",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"development_mode": "Single Node Stabilization",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"priority": "Local Node Completion Before Network Expansion",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"rationale": "Reduce concurrent infrastructure complexity and achieve a stable reference implementation on Node A before enabling distributed operation"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"hardware_environment":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"primary_node":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"device": "ThinkPad T520",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"cpu": "Intel Core i5",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"ram": "12GB",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"os": "Debian 13"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"development_scope":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"node": "Node_A_Local",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"network_features": "DEFERRED",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"virtualization": "DEFERRED",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"external_storage": "DEFERRED",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"focus":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"Kernel stabilization",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"Quantum Header finalization",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"Pipeline robustness",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"Media toolchain compilation",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"Large scale ingestion testing"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"kernel_layer":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"binary": "k501_alpha",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"modules":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"dynamic_cage",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"frame_engine",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"hard_index",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"ingestion",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"qh_core",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"qh_algebra"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"objectives": [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"deterministic frame append",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"temporal consistency enforcement",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"hash chain validation",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"stable compilation without warnings"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"runtime_pipeline":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"language": "Python",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"modules": [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"normalizer",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"segmenter",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"framer",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"quantizer",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"linker"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"orchestrator": "ingest_runner",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"testing_targets": 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"small files",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"large files",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"mixed media ingestion",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"deterministic output validation"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"quantum_header":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"structure_dimension": 56,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"status": "integration_in_progress",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"objectives": [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"finalize state vector mapping",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"validate frame classification logic",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"ensure deterministic encoding in frame construction"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"media_toolchain_strategy":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"prefix": "/opt/k501/st_root",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"compile_locally": [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"ffmpeg",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"codec_libraries"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"install_via_package_manager": [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"poppler_utils"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"install_prebuilt": [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"pandoc_binary",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"chromium_binary",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"vscodium_binary"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"goals": [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"deterministic media normalization",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"stable toolchain for deep read pipeline",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"reproducible build environment"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"build_constraints":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"target_hardware": "ThinkPad T520",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"cpu_threads_limit": 2,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"build_strategy": "sequential_component_build",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"temperature_policy": "avoid sustained high CPU temperature during codec compilation"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"archive_model":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"format": "NDJSON",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"properties": [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"append_only",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"cryptographic_hash_linkage",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"temporal_monotonicity"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"future_transition_condition":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"description": "Proceed to distributed infrastructure once Node A becomes a stable reference implementation",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"next_phases": [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"VM Node creation",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"FRITZ!Box network topology",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"External archive storage (eSATA)",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"Node replication protocol"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"instruction_to_gemini":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"directive": "Focus analysis and assistance on completing a stable single-node K501 environment. Avoid introducing networking or distributed complexity until the local node toolchain, kernel, and ingestion pipeline are fully stabilized."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