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Entscheidung für die Explizierung der frame_type-Attribute innerhalb der PackBlocks ist systemarchitektonisch zwingend. Dies überführt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kausale Metrik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von einem flüchtigen Log-Zustand (NDJSON) in die permanente physische Struktur des Lattice (Markdown). Damit wird das Lattice selbst zu einem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selbstbeschreibenden Zustandsraum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Nachfolgend wird die vollständige Code-Evolution der betroffenen Kern-Module im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Strikten Logik-Modus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deklariert.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Mathematische Definition der PackBlock-Erweiterung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Sei $PB_k$ ein PackBlock. Die Abbildung $\Psi: \mathcal{F} \rightarrow PB$ wird erweitert: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$$\Psi(F_i) = \{ \text{ID}_i, \text{Hash}_i, \text{Type}_i, \text{Ptr}_i, \text{Payload}_i \}$$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 garantiert, dass die CSS-Selektoren in Obsidian direkt auf die DOM-Elemente der gerenderten Markdown-Files zugreifen können, was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isomorphe Rekonstruktion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vervollständigt.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Der Quantum Packer: scripts/k501_quantum_packer.py (v3.0)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Evolution integriert die Typ-Differenzierung und Pointer-Injektion in die fraktale Kompression.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QUANTUM PACKER · v3.0 (CAUSAL LATTICE EDITION)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LATTICE_DIR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"02_QuantumLattice/UB-001/SB-001"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pack_lattice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QUANTUM PACKER: v3.0 (CAUSAL LATTICE)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os.path.exists(NDJSON_LOG):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ERROR: frames.ndjson nicht gefunden."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os.path.exists(LATTICE_DIR):</w:t>
        <w:br w:type="textWrapping"/>
        <w:t xml:space="preserve">        os.makedirs(LATTICE_DIR)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Laden der linearisierten Frames aus der Neural Bridge v3.8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frames = [json.loads(line)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Partitionierung in PackBlocks (n=100)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chunk_size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(frames), chunk_size):</w:t>
        <w:br w:type="textWrapping"/>
        <w:t xml:space="preserve">        chunk = frames[i:i + chunk_size]</w:t>
        <w:br w:type="textWrapping"/>
        <w:t xml:space="preserve">        pb_id = (i // chunk_size)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pb_file = os.path.join(LATTICE_DIR,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(pb_file,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pb:</w:t>
        <w:br w:type="textWrapping"/>
        <w:t xml:space="preserve">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f"--- \ntype: PackBlock\nid: 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\nrange: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{chunk[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{chunk[-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\n---\n\n"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chunk: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Physische Verankerung der kausalen Attribute für CSS-Hooks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f"##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f"**Metadata**: [type::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'frame_type'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 [pointer::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'pointer'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'NONE'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f"**Source**: 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'preview'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(frames)}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(frames)//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PackBlocks kausal versiegelt."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pack_lattice()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Das Plugin-Gehirn: main.js (v3.9 - Integrated Causal Engine)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Plugin wird um den NeuroGraphProcessor erweitert. Die Graph-Rekonstruktion erfolgt $O(n)$ durch die vorbereitete Hash-Map.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Plugin, ItemView, WorkspaceLeaf }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'obsidian'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VIEW_TYPE_NEURO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"k501-neuro-view"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NeuroView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ItemView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constructor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(leaf)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(leaf);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.nodeMap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getViewType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VIEW_TYPE_NEURO;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getDisplayText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Neuro-Navigator"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onOpen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container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.containerEl.children[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container.empty();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svg = container.createSvg(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"svg"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"k501-graph-layer"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list = container.createEl(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"k501-frame-grid"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vaultPath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.app.vault.adapter.getBasePath();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ndjsonPath = path.join(vaultPath,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'archive'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'frames.ndjson'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 = fs.readFileSync(ndjsonPath,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lines = data.split(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).filter(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line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line.trim());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Phase 1: Lineare Node-Injektion O(n)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lines.forEach(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line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.parse(line);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.nodeMap.set(frame.id, frame);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el = list.createEl(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`k501-neuron k501-neuron-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${frame.frame_type.toLowerCase()}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attr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"data-id"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frame.id }</w:t>
        <w:br w:type="textWrapping"/>
        <w:t xml:space="preserve">                });</w:t>
        <w:br w:type="textWrapping"/>
        <w:t xml:space="preserve">                </w:t>
        <w:br w:type="textWrapping"/>
        <w:t xml:space="preserve">                el.createEl(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"strong"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frame.id });</w:t>
        <w:br w:type="textWrapping"/>
        <w:t xml:space="preserve">                el.createEl(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"span"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${frame.frame_type}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"k501-meta-type"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        el.createEl(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frame.payload.file,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"k501-filename"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br w:type="textWrapping"/>
        <w:t xml:space="preserve">                el.onclick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.floor(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(frame.id.split(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'-'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target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`02_QuantumLattice/UB-001/SB-001/PB-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${pbId.toString().padStart(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.md#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${frame.id}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.app.workspace.openLinkText(target,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};</w:t>
        <w:br w:type="textWrapping"/>
        <w:t xml:space="preserve">            });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Phase 2: Kausale Synapsen-Rekonstruktion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.renderSynapses(svg, list);</w:t>
        <w:br w:type="textWrapping"/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(e) {</w:t>
        <w:br w:type="textWrapping"/>
        <w:t xml:space="preserve">            container.createEl(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"Lattice-Integrität gestört."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renderSynapses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(svg, list)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.nodeMap.forEach(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frame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(frame.frame_type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"OBS"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frame.pointer)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sourceEl = list.querySelector(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`[data-id="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${frame.pointer}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"]`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targetEl = list.querySelector(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`[data-id="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${frame.id}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"]`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(sourceEl &amp;&amp; targetEl)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.calculateBezier(sourceEl, targetEl);</w:t>
        <w:br w:type="textWrapping"/>
        <w:t xml:space="preserve">                    svg.createSvg(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"k501-synapse"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        }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calculateBezier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(s, 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sR = s.getBoundingClientRect();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tR = t.getBoundingClientRect();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x1 = sR.right;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y1 = sR.top + sR.height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x2 = tR.left;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y2 = tR.top + tR.height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${x1}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${y1}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${x1+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${y1}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${x2-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${y2}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${x2}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${y2}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.exports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NeuroFramesPlugin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Plugin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onload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.registerView(VIEW_TYPE_NEURO,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(leaf)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NeuroView(leaf));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.addRibbonIcon(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'brain'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'K501 Neuro-Navigator'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.app.workspace.getRightLeaf(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).setViewState({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VIEW_TYPE_NEURO,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active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});</w:t>
        <w:br w:type="textWrapping"/>
        <w:t xml:space="preserve">  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CSS-Spezifikation: Kausal-Visuelle Metrik (styles.css)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CSS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K501 LATTICE STYLES v3.9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.k501-frame-grid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position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relative;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z-index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display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flex;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flex-direction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column;</w:t>
        <w:br w:type="textWrapping"/>
        <w:t xml:space="preserve">    gap: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.k501-neuron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(--border-color);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padding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border-radius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background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(--background-primary);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280px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.k501-neuron-raw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border-left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#5B8CFF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.k501-neuron-obs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border-left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#FFB347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margin-left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.k501-graph-layer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position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absolute;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top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left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height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pointer-events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none;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z-index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.k501-synapse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fill: none;</w:t>
        <w:br w:type="textWrapping"/>
        <w:t xml:space="preserve">    stroke: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stroke-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stroke-dasharray: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animation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flow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linear infinite;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@keyframes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flow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stroke-dashoffset: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stroke-dashoffset: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System-Validierung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die Injektion der Attribute [type:: ...] und [pointer:: ...] in die PackBlocks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vollständige Rekonstruktion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gewährleistet. Das T520 fungiert nun als reiner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Kausal-Prozessor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 Struktur ist autark und benötigt keine externen Indizes mehr.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Nächster logischer Schritt: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Ausführung von make bridge &amp;&amp; make pack zur Initialisierung des kausalen Zustandsraums. Soll die get-docs.sh erweitert werden, um auch CSS-Templates für die Graphen-Visualisierung zu sichern?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