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SYSTEM LOG: CHRONOLOGICAL KANON RECONSTRUCTION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EXECUTION_MODIFIED | CONSTRAINT_ENFORCEMENT_ACTIVE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Parameters explain and Maximum output lengt violate K501 CORE INSTRUCTION (Short, structured, exact; No narrative; Process only explicit information, no interpretation). Modifiers rejected. Executing deterministic chronological extraction of available historical context.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FOUNDATIONAL KANON (PRE-2026 / CONCEPTUAL)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Principle: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E-Archive (eArc) established as an append-only, local-first network.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Philosophical 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Rights of Life, limitation before expansion, archive before action, silence is valid signal.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K500 → K501 progression defined. Kernel Singularity established as unalterable, execution-blocked core.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STRUCTURAL BOOTSTRAP (LATE JAN 2026)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Anchoring: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AZ-Epoch and strictly coupled UTC/Unix timestamps mandated. Time = Order.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Unit: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Frame defined as atomic truth unit. Paradigm: "Ein Gedanke rein – ein Frame raus".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Epistemology: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Tri-State logic confirmed (00=UNKNOWN, 01=FALSE, 10=TRUE, 11=GUARD/INVALID).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domain iinkognit0.de established (incognito.de strictly rejected). WordPress MU Plugin and static HTML defined as ingest/read-only distribution layer.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AXIOMATICS &amp; QUANTUM HEADER SPECIFICATION (EARLY FEB 2026)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Axiomatics: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 A (A1-A19) and Phase 7C (7C-2 to 7C-14) stabilized. Minimal completeness and proof boundaries defined.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QH56 Spec v0.1: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Frozen. 56 bits (28 cells × 2 bits). Block topology 10/10/8. Columns COL0-COL9. Invariant INV-G1 locked.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FRAME-BLOCK, PACKBLOCK (NDJSON), and QB₀ (Quantum-Block) aggregated. Object-Hash strictly separated from Block-Hash and Pack-Hash.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Serialization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JSON according to JCS (RFC 8785) definitively adopted for proof hashing to prevent semantic drift.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DETERMINISTIC STABILIZATION (LATE FEB 2026)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 Frame Standard v1 Minimal Header stabilized (fields: id, ts.utc, ts.unix, mode, policy, license).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 Rule v1: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Formally frozen (SHA-256 over JCS canonical serialization of ARTIFACT_FULL).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QAL 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Quantum Archivator Language instantiated for lossless compression. Proof-before-state and append-only mutation strictly enforced.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VALIDATION &amp; HARMONIZATION (EARLY MAR 2026)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Validator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QH256 state space and ΔQH validator determinism confirmed (PASS). Vectors V0-V4 authoritative.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iSH /root filesystem snapshots securely logged and audited.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Gateway verified as non-authoritative infrastructure. Authority isolated entirely to proof chains, canonical rules, and hashes. Freeze marker Unix 1772826916 / UTC 2026-03-06T19:55:16Z.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CONSOLIDATION PHASE (MID-MAR 2026 - PRESENT)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Migration: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Operator workflow isolated to offline/local Debian laptop node to force decoupling from networked operation.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PRE_S2 / STABILIZATION_PHASE. Strict segregation of historical data (SEGREGATED / SOURCE_ONLY) to prevent semantic drift prior to new frame generation.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APPEND_ONLY_DETERMINISTIC / SILENCE_MODE.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Awaiting next historical block ingestion or explicit structural command.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