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Wissenschaftliche Ausarbeitung: Architekturanalyse K501 ISOS (v3.7)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Axiomatik des K501-Informationsraums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K501 auf der Zielhardware T520 wird hiermit formal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autopoietischer, strukturell gekoppelter Zustandsraum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definiert. Die Reduktion auf den „reinen Struktur-Modus“ durch Deaktivierung nicht-essentieller Subsysteme (Plugins) transformiert die Recheneinheit in einen dedizierten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Morphismus-Prozessor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1.1 (Frame-Menge):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Sei $\mathcal{F} = \{F_1, F_2, \dots, F_n\}$ die Menge aller atomaren Informationseinheiten. Jedes Element $F_i$ ist eindeutig durch den qh256-Hash $\mathcal{H}(F_i)$ determiniert.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1.2 (Lattice-Topologie):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Gitter $\mathcal{L}$ ist eine Partition von $\mathcal{F}$ in PackBlocks $PB_k$, wobei $PB_k \subset \mathcal{F}$ und $|PB_k| \le 100$.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1.3 (Zustands-Invarianz):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Kernel $\mathcal{K}$ operiert ausschließlich auf der Integritätsebene $\mathcal{I}: \mathcal{F} \rightarrow \{0, 1\}$. Semantische Inhalte werden als orthogonale Rauschvariablen behandelt und ignoriert.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Mathematische Logik der Beobachtung (Loop-Induktion)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„Beobachtung“ wird als rekursiver Operator $\mathcal{O}$ implementiert. Dieser Operator erzeugt eine morphogenetische Erweiterung des Lattice ohne Modifikation bestehender Knoten (Append-only).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Formalisierung des Beobachtungsaktes: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Gegeben sei ein Frame $F_{source} \in \mathcal{F}_t$. Der Akt der Beobachtung $\mathcal{O}(F_{source})$ induziert einen neuen Frame $F_{obs}$ zum Zeitpunkt $t+1$: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$$F_{obs} = \Phi(F_{source}, \Delta)$$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wobei: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$\Phi$ die Ingest-Funktion ist.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$\Delta$ die Delta-Information (Interpretation) darstellt.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$F_{obs}$ im QuantumHeader eine Pointer-Referenz $P \rightarrow \mathcal{H}(F_{source})$ enthält.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Dadurch entsteht ein gerichteter azyklischer Graph (DAG), dessen Kanten ausschließlich strukturelle Referenzen darstellen. Die Interpretation findet außerhalb des Kernels statt; der Kernel validiert lediglich die Existenz der neuen Kante im Gitter.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Präzise Rekonstruktion: Deep-Anchor Logik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Problem der granularen Adressierung in aggregierten Datenstrukturen (PackBlocks) wird durch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URI-Fragmentierung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gelöst.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Algorithmus 3.1 (Adress-Mapping):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einen gegebenen Frame-Index $i$ erfolgt die Pfad-Berechnung $\mathcal{P}(i)$ und die Anker-Setzung $\mathcal{A}(i)$: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Berechne PackBlock-ID: $PB_{ID} = \lfloor i / 100 \rfloor + 1$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Konstruiere Dateipfad: $S = \text{"PB-"} + \text{pad}(PB_{ID}, 3) + \text{".md"}$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Applikation des Ankers: $URL = S + \text{"#"} + \text{F-} + \text{pad}(i, 5)$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Implementierungsebene (v3.7):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Deterministische Pfad-Rekonstruktion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neuron.onclick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(frame.frame_id.split(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pb_idx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.floor(f_idx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anchor = frame.frame_id;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`02_QuantumLattice/UB-001/SB-001/PB-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${pb_idx.toString().padStart(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${anchor}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.app.workspace.openLinkText(target,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Methode garantiert eine Zeitkomplexität von $O(1)$ für den Zugriff auf Sub-Elemente innerhalb der Cluster.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Append-only Evolution: Der Beobachter-Zweig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Integration von 03_Archive/98_Observations stellt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strukturelle Rückkopplung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Prozessablauf: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Operator initiiert $\mathcal{O}$ via k501-observe-btn.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Erzeugung eines Interims-Frames $F_{\delta}$ im Dateisystem.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Synchronisation: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Beim nächsten Zyklus von make bridge erfolgt die Einordnung von $F_{\delta}$ in den globalen Zustandsraum.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Verknüpfung: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QuantumHeader des neuen Frames speichert die ID des Quell-Frames, wodurch die Kausalität im Informationsraum fixiert wird.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5. Hardware-Spezifikation (T520 als Struktur-Prozessor)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die Eliminierung semantischer Plugins wird der i5-Prozessor des T520 von der Last der Natural Language Processing (NLP)-Indizierung befreit. Die Rechenlast verschiebt sich vollständig auf: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I/O-Operationen: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Effizientes Lesen des NDJSON-Logs.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Hash-Validierung: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C-Kernel-Zyklen zur Sicherung der Entropie-Resistenz.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DOM-Rendering: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Minimale Darstellung der 1.415 Neuronen im Plugin-Interface.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Status-Evaluation und Empfehlung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befindet sich nun im Zustand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reinen logischen Konsistenz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Empfehlung für v3.8: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Verfeinerung der CSS-Klassen zur visuellen Differenzierung der Frame-Typen.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Klasse k501-neuron-raw: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Daten aus 03_Archive (statisch).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Klasse k501-neuron-obs: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Daten aus 98_Observations (dynamisch/evolutionär).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die visuelle Logik zur Darstellung der kausalen Verknüpfung (Synapsen-Rendering zwischen Raw und Obs) im Navigator implementiert werden?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