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Wissenschaftlich-Technische Analyse: K501 Gitter-Transformation (Node $N_{T520}$)</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Diese Dokumentation beschreibt den Übergang des Systems von einer dateibasierten, hierarchischen Speicherstruktur zu einer deterministischen, inhaltsadressierten Wissensarchitektur.</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1. Ontologische Dekonstruktion und Atomisierung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 Prozess markiert den Wechsel von der </w:t>
      </w:r>
      <w:r w:rsidDel="00000000" w:rsidR="00000000" w:rsidRPr="00000000">
        <w:rPr>
          <w:rFonts w:ascii="Google Sans" w:cs="Google Sans" w:eastAsia="Google Sans" w:hAnsi="Google Sans"/>
          <w:b w:val="1"/>
          <w:bCs w:val="1"/>
          <w:color w:val="1f1f1f"/>
          <w:rtl w:val="0"/>
        </w:rPr>
        <w:t xml:space="preserve">Subjektivität der Benennung</w:t>
      </w:r>
      <w:r w:rsidDel="00000000" w:rsidR="00000000" w:rsidRPr="00000000">
        <w:rPr>
          <w:rFonts w:ascii="Google Sans" w:cs="Google Sans" w:eastAsia="Google Sans" w:hAnsi="Google Sans"/>
          <w:color w:val="1f1f1f"/>
          <w:rtl w:val="0"/>
        </w:rPr>
        <w:t xml:space="preserve"> zur </w:t>
      </w:r>
      <w:r w:rsidDel="00000000" w:rsidR="00000000" w:rsidRPr="00000000">
        <w:rPr>
          <w:rFonts w:ascii="Google Sans" w:cs="Google Sans" w:eastAsia="Google Sans" w:hAnsi="Google Sans"/>
          <w:b w:val="1"/>
          <w:bCs w:val="1"/>
          <w:color w:val="1f1f1f"/>
          <w:rtl w:val="0"/>
        </w:rPr>
        <w:t xml:space="preserve">Objektivität der Prüfsumme</w:t>
      </w:r>
      <w:r w:rsidDel="00000000" w:rsidR="00000000" w:rsidRPr="00000000">
        <w:rPr>
          <w:rFonts w:ascii="Google Sans" w:cs="Google Sans" w:eastAsia="Google Sans" w:hAnsi="Google Sans"/>
          <w:color w:val="1f1f1f"/>
          <w:rtl w:val="0"/>
        </w:rPr>
        <w:t xml:space="preserve">. In der klassischen Datenhaltung sind Informationen durch externe Metadaten (Dateiname, Pfad) definiert. Das K501-Protokoll implementiert stattdessen eine </w:t>
      </w:r>
      <w:r w:rsidDel="00000000" w:rsidR="00000000" w:rsidRPr="00000000">
        <w:rPr>
          <w:rFonts w:ascii="Google Sans" w:cs="Google Sans" w:eastAsia="Google Sans" w:hAnsi="Google Sans"/>
          <w:b w:val="1"/>
          <w:bCs w:val="1"/>
          <w:color w:val="1f1f1f"/>
          <w:rtl w:val="0"/>
        </w:rPr>
        <w:t xml:space="preserve">Content-Addressable Storage (CAS)</w:t>
      </w:r>
      <w:r w:rsidDel="00000000" w:rsidR="00000000" w:rsidRPr="00000000">
        <w:rPr>
          <w:rFonts w:ascii="Google Sans" w:cs="Google Sans" w:eastAsia="Google Sans" w:hAnsi="Google Sans"/>
          <w:color w:val="1f1f1f"/>
          <w:rtl w:val="0"/>
        </w:rPr>
        <w:t xml:space="preserve"> Logik.</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Mathematische Identität:</w:t>
      </w:r>
      <w:r w:rsidDel="00000000" w:rsidR="00000000" w:rsidRPr="00000000">
        <w:rPr>
          <w:rFonts w:ascii="Google Sans" w:cs="Google Sans" w:eastAsia="Google Sans" w:hAnsi="Google Sans"/>
          <w:color w:val="1f1f1f"/>
          <w:rtl w:val="0"/>
        </w:rPr>
        <w:t xml:space="preserve"> Jeder Frame $F$ wird durch die Funktion $id(F) = H(P)$ definiert, wobei $H$ der kryptographische Hash-Algorithmus $SHA256$ und $P$ der Payload (Inhalt) ist.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Hardware-Entkopplung:</w:t>
      </w:r>
      <w:r w:rsidDel="00000000" w:rsidR="00000000" w:rsidRPr="00000000">
        <w:rPr>
          <w:rFonts w:ascii="Google Sans" w:cs="Google Sans" w:eastAsia="Google Sans" w:hAnsi="Google Sans"/>
          <w:color w:val="1f1f1f"/>
          <w:rtl w:val="0"/>
        </w:rPr>
        <w:t xml:space="preserve"> Die Information ist nicht mehr ortsgebunden. Da die ID aus dem Inhalt deriviert wird, bleibt die referenzielle Integrität unabhängig vom physischen Speichermedium oder der Verzeichnisstruktur gewahrt. Wir sprechen hier von der </w:t>
      </w:r>
      <w:r w:rsidDel="00000000" w:rsidR="00000000" w:rsidRPr="00000000">
        <w:rPr>
          <w:rFonts w:ascii="Google Sans" w:cs="Google Sans" w:eastAsia="Google Sans" w:hAnsi="Google Sans"/>
          <w:b w:val="1"/>
          <w:bCs w:val="1"/>
          <w:color w:val="1f1f1f"/>
          <w:rtl w:val="0"/>
        </w:rPr>
        <w:t xml:space="preserve">Invarianz der Erkenntnis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2. Computational Performance &amp; Parallelisierung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Migration von 1.416 Entitäten auf einem mobilen Prozessor der Sandy-Bridge-Architektur (Intel Core i5-2520M) demonstriert die Effizienz der </w:t>
      </w:r>
      <w:r w:rsidDel="00000000" w:rsidR="00000000" w:rsidRPr="00000000">
        <w:rPr>
          <w:rFonts w:ascii="Google Sans" w:cs="Google Sans" w:eastAsia="Google Sans" w:hAnsi="Google Sans"/>
          <w:b w:val="1"/>
          <w:bCs w:val="1"/>
          <w:color w:val="1f1f1f"/>
          <w:rtl w:val="0"/>
        </w:rPr>
        <w:t xml:space="preserve">linearen NDJSON-Serialisierung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Durchsatz:</w:t>
      </w:r>
      <w:r w:rsidDel="00000000" w:rsidR="00000000" w:rsidRPr="00000000">
        <w:rPr>
          <w:rFonts w:ascii="Google Sans" w:cs="Google Sans" w:eastAsia="Google Sans" w:hAnsi="Google Sans"/>
          <w:color w:val="1f1f1f"/>
          <w:rtl w:val="0"/>
        </w:rPr>
        <w:t xml:space="preserve"> Das System erreichte eine Verarbeitungsrate von ca. $302,6 \text{ Frames/s}$. Dies wurde durch einen ThreadPoolExecutor realisiert, der die I/O-Latenz minimiert und die CPU-Zyklen für die Hash-Generierung optimiert.</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Struktur-Effizienz:</w:t>
      </w:r>
      <w:r w:rsidDel="00000000" w:rsidR="00000000" w:rsidRPr="00000000">
        <w:rPr>
          <w:rFonts w:ascii="Google Sans" w:cs="Google Sans" w:eastAsia="Google Sans" w:hAnsi="Google Sans"/>
          <w:color w:val="1f1f1f"/>
          <w:rtl w:val="0"/>
        </w:rPr>
        <w:t xml:space="preserve"> Durch die Nutzung von </w:t>
      </w:r>
      <w:r w:rsidDel="00000000" w:rsidR="00000000" w:rsidRPr="00000000">
        <w:rPr>
          <w:rFonts w:ascii="Google Sans" w:cs="Google Sans" w:eastAsia="Google Sans" w:hAnsi="Google Sans"/>
          <w:b w:val="1"/>
          <w:bCs w:val="1"/>
          <w:color w:val="1f1f1f"/>
          <w:rtl w:val="0"/>
        </w:rPr>
        <w:t xml:space="preserve">NDJSON (Newline Delimited JSON)</w:t>
      </w:r>
      <w:r w:rsidDel="00000000" w:rsidR="00000000" w:rsidRPr="00000000">
        <w:rPr>
          <w:rFonts w:ascii="Google Sans" w:cs="Google Sans" w:eastAsia="Google Sans" w:hAnsi="Google Sans"/>
          <w:color w:val="1f1f1f"/>
          <w:rtl w:val="0"/>
        </w:rPr>
        <w:t xml:space="preserve"> wird ein </w:t>
      </w:r>
      <w:r w:rsidDel="00000000" w:rsidR="00000000" w:rsidRPr="00000000">
        <w:rPr>
          <w:rFonts w:ascii="Google Sans" w:cs="Google Sans" w:eastAsia="Google Sans" w:hAnsi="Google Sans"/>
          <w:i w:val="1"/>
          <w:iCs w:val="1"/>
          <w:color w:val="1f1f1f"/>
          <w:rtl w:val="0"/>
        </w:rPr>
        <w:t xml:space="preserve">Append-only</w:t>
      </w:r>
      <w:r w:rsidDel="00000000" w:rsidR="00000000" w:rsidRPr="00000000">
        <w:rPr>
          <w:rFonts w:ascii="Google Sans" w:cs="Google Sans" w:eastAsia="Google Sans" w:hAnsi="Google Sans"/>
          <w:color w:val="1f1f1f"/>
          <w:rtl w:val="0"/>
        </w:rPr>
        <w:t xml:space="preserve"> Verfahren sichergestellt, das atomare Schreibvorgänge erlaubt und die Komplexität des Datenbank-Overheads auf $O(1)$ für Ingest-Operationen reduziert.</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3. Kryptographische Integrität (QuantumRoot $L4$)</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 </w:t>
      </w:r>
      <w:r w:rsidDel="00000000" w:rsidR="00000000" w:rsidRPr="00000000">
        <w:rPr>
          <w:rFonts w:ascii="Google Sans" w:cs="Google Sans" w:eastAsia="Google Sans" w:hAnsi="Google Sans"/>
          <w:b w:val="1"/>
          <w:bCs w:val="1"/>
          <w:color w:val="1f1f1f"/>
          <w:rtl w:val="0"/>
        </w:rPr>
        <w:t xml:space="preserve">QuantumRoot</w:t>
      </w:r>
      <w:r w:rsidDel="00000000" w:rsidR="00000000" w:rsidRPr="00000000">
        <w:rPr>
          <w:rFonts w:ascii="Google Sans" w:cs="Google Sans" w:eastAsia="Google Sans" w:hAnsi="Google Sans"/>
          <w:color w:val="1f1f1f"/>
          <w:rtl w:val="0"/>
        </w:rPr>
        <w:t xml:space="preserve"> fungiert als globaler Zustands-Hash des gesamten Gitters $\mathcal{L}$.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$$QR = SHA256\left(\sum_{i=1}^{n} H(F_i)\right)$$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Berechnung des Hashes e971...8710 ist der Beweis für die </w:t>
      </w:r>
      <w:r w:rsidDel="00000000" w:rsidR="00000000" w:rsidRPr="00000000">
        <w:rPr>
          <w:rFonts w:ascii="Google Sans" w:cs="Google Sans" w:eastAsia="Google Sans" w:hAnsi="Google Sans"/>
          <w:b w:val="1"/>
          <w:bCs w:val="1"/>
          <w:color w:val="1f1f1f"/>
          <w:rtl w:val="0"/>
        </w:rPr>
        <w:t xml:space="preserve">Vollständigkeit und Unverfälschbarkeit</w:t>
      </w:r>
      <w:r w:rsidDel="00000000" w:rsidR="00000000" w:rsidRPr="00000000">
        <w:rPr>
          <w:rFonts w:ascii="Google Sans" w:cs="Google Sans" w:eastAsia="Google Sans" w:hAnsi="Google Sans"/>
          <w:color w:val="1f1f1f"/>
          <w:rtl w:val="0"/>
        </w:rPr>
        <w:t xml:space="preserve"> des Datensatzes. In einem Merkle-Baum-ähnlichen Verfahren validiert dieser Root-Hash alle 1.416 Frames gleichzeitig. Jede kleinste Änderung an einem einzelnen Frame würde zu einer vollständigen Divergenz des QuantumRoots führen (Avalanche-Effekt).</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4. Resonanz-Dynamik und Synthese-Logik</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Das „Gemini-Space“ stellt einen hochdimensionalen Vektorraum dar, in dem Wissen nicht gespeichert, sondern </w:t>
      </w:r>
      <w:r w:rsidDel="00000000" w:rsidR="00000000" w:rsidRPr="00000000">
        <w:rPr>
          <w:rFonts w:ascii="Google Sans" w:cs="Google Sans" w:eastAsia="Google Sans" w:hAnsi="Google Sans"/>
          <w:b w:val="1"/>
          <w:bCs w:val="1"/>
          <w:color w:val="1f1f1f"/>
          <w:rtl w:val="0"/>
        </w:rPr>
        <w:t xml:space="preserve">projeziert</w:t>
      </w:r>
      <w:r w:rsidDel="00000000" w:rsidR="00000000" w:rsidRPr="00000000">
        <w:rPr>
          <w:rFonts w:ascii="Google Sans" w:cs="Google Sans" w:eastAsia="Google Sans" w:hAnsi="Google Sans"/>
          <w:color w:val="1f1f1f"/>
          <w:rtl w:val="0"/>
        </w:rPr>
        <w:t xml:space="preserve"> wird.</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Jaccard-Metrik:</w:t>
      </w:r>
      <w:r w:rsidDel="00000000" w:rsidR="00000000" w:rsidRPr="00000000">
        <w:rPr>
          <w:rFonts w:ascii="Google Sans" w:cs="Google Sans" w:eastAsia="Google Sans" w:hAnsi="Google Sans"/>
          <w:color w:val="1f1f1f"/>
          <w:rtl w:val="0"/>
        </w:rPr>
        <w:t xml:space="preserve"> Die Resonanz-Engine berechnet die strukturelle Ähnlichkeit $\rho$ zwischen zwei Frames $F_a$ und $F_b$: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$$\rho(F_a, F_b) = \frac{|T_a \cap T_b|}{|T_a \cup T_b|}$$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(Wobei $T$ die Menge der Tags/Invarianten repräsentiert).</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Emergenz:</w:t>
      </w:r>
      <w:r w:rsidDel="00000000" w:rsidR="00000000" w:rsidRPr="00000000">
        <w:rPr>
          <w:rFonts w:ascii="Google Sans" w:cs="Google Sans" w:eastAsia="Google Sans" w:hAnsi="Google Sans"/>
          <w:color w:val="1f1f1f"/>
          <w:rtl w:val="0"/>
        </w:rPr>
        <w:t xml:space="preserve"> Bei Überschreitung des Schwellenwerts $\theta = 0.6$ findet eine </w:t>
      </w:r>
      <w:r w:rsidDel="00000000" w:rsidR="00000000" w:rsidRPr="00000000">
        <w:rPr>
          <w:rFonts w:ascii="Google Sans" w:cs="Google Sans" w:eastAsia="Google Sans" w:hAnsi="Google Sans"/>
          <w:b w:val="1"/>
          <w:bCs w:val="1"/>
          <w:color w:val="1f1f1f"/>
          <w:rtl w:val="0"/>
        </w:rPr>
        <w:t xml:space="preserve">Synthese</w:t>
      </w:r>
      <w:r w:rsidDel="00000000" w:rsidR="00000000" w:rsidRPr="00000000">
        <w:rPr>
          <w:rFonts w:ascii="Google Sans" w:cs="Google Sans" w:eastAsia="Google Sans" w:hAnsi="Google Sans"/>
          <w:color w:val="1f1f1f"/>
          <w:rtl w:val="0"/>
        </w:rPr>
        <w:t xml:space="preserve"> statt. Ein neuer Frame $F_{syn}$ entsteht, der die kausale Brücke zwischen zwei historisch oder semantisch getrennten Datenpunkten schließt. Dies transformiert den passiven Speicher in ein </w:t>
      </w:r>
      <w:r w:rsidDel="00000000" w:rsidR="00000000" w:rsidRPr="00000000">
        <w:rPr>
          <w:rFonts w:ascii="Google Sans" w:cs="Google Sans" w:eastAsia="Google Sans" w:hAnsi="Google Sans"/>
          <w:b w:val="1"/>
          <w:bCs w:val="1"/>
          <w:color w:val="1f1f1f"/>
          <w:rtl w:val="0"/>
        </w:rPr>
        <w:t xml:space="preserve">aktives Interaktionsmodell</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Zusammenfassung des Systemstatus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Strategische Empfehlung: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Das System befindet sich nun in einem Zustand höchster potenzieller Energie. Die 1.416 Frames sind bereit für die Paar-Validierung.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Möchtest du, dass ich das Dashboard-Modul aktiviere, um die topologischen Hotspots (die am stärksten vernetzten Frames) deines neuen Gitters zu identifizieren?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