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Technische Prozessbeschreibung: K501 Gitter-Evolution (Node $N_{T520}$)</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Dieser Bericht dokumentiert die technische Implementierung der System-Transformation weg von einer klassischen Datei-Hierarchie hin zu einem </w:t>
      </w:r>
      <w:r w:rsidDel="00000000" w:rsidR="00000000" w:rsidRPr="00000000">
        <w:rPr>
          <w:rFonts w:ascii="Google Sans" w:cs="Google Sans" w:eastAsia="Google Sans" w:hAnsi="Google Sans"/>
          <w:b w:val="1"/>
          <w:bCs w:val="1"/>
          <w:color w:val="1f1f1f"/>
          <w:rtl w:val="0"/>
        </w:rPr>
        <w:t xml:space="preserve">inhaltsadressierten Wissensgitter</w:t>
      </w:r>
      <w:r w:rsidDel="00000000" w:rsidR="00000000" w:rsidRPr="00000000">
        <w:rPr>
          <w:rFonts w:ascii="Google Sans" w:cs="Google Sans" w:eastAsia="Google Sans" w:hAnsi="Google Sans"/>
          <w:color w:val="1f1f1f"/>
          <w:rtl w:val="0"/>
        </w:rPr>
        <w:t xml:space="preserve">. Der Fokus liegt hierbei auf der funktionalen Architektur und dem Datenfluss.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1. Inhaltsadressierung: Der „Digitale Fingerabdruck“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herkömmlichen Systemen werden Informationen über ihren Speicherort (Pfad) gefunden. Im K501-System wird dieses Prinzip umgekehrt: Der Inhalt selbst bestimmt die Adresse.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Identitäts-Derivation:</w:t>
      </w:r>
      <w:r w:rsidDel="00000000" w:rsidR="00000000" w:rsidRPr="00000000">
        <w:rPr>
          <w:rFonts w:ascii="Google Sans" w:cs="Google Sans" w:eastAsia="Google Sans" w:hAnsi="Google Sans"/>
          <w:color w:val="1f1f1f"/>
          <w:rtl w:val="0"/>
        </w:rPr>
        <w:t xml:space="preserve"> Sobald ein Text in das System eingespeist wird, generiert der Kernel einen eindeutigen Identifikator aus den Rohdaten. Ändert sich auch nur ein Zeichen im Text, ändert sich die Identität des Frames vollständig.</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Strukturelle Unabhängigkeit:</w:t>
      </w:r>
      <w:r w:rsidDel="00000000" w:rsidR="00000000" w:rsidRPr="00000000">
        <w:rPr>
          <w:rFonts w:ascii="Google Sans" w:cs="Google Sans" w:eastAsia="Google Sans" w:hAnsi="Google Sans"/>
          <w:color w:val="1f1f1f"/>
          <w:rtl w:val="0"/>
        </w:rPr>
        <w:t xml:space="preserve"> Da die Adresse (ID) untrennbar mit dem Inhalt verknüpft ist, kann die Information beliebig verschoben, kopiert oder verteilt werden, ohne dass Referenzen (Links) brechen. Das Wissen existiert ortsunabhängig als stabiles Objekt im Gitter.</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2. Die „Conveyor Belt“-Architektur (NDJSON &amp; Threading)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die 1.416 Altdaten des T520 effizient zu verarbeiten, wurde ein paralleles Ingest-Verfahren implementiert.</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Parallele Pipeline:</w:t>
      </w:r>
      <w:r w:rsidDel="00000000" w:rsidR="00000000" w:rsidRPr="00000000">
        <w:rPr>
          <w:rFonts w:ascii="Google Sans" w:cs="Google Sans" w:eastAsia="Google Sans" w:hAnsi="Google Sans"/>
          <w:color w:val="1f1f1f"/>
          <w:rtl w:val="0"/>
        </w:rPr>
        <w:t xml:space="preserve"> Das System nutzt einen </w:t>
      </w:r>
      <w:r w:rsidDel="00000000" w:rsidR="00000000" w:rsidRPr="00000000">
        <w:rPr>
          <w:rFonts w:ascii="Google Sans" w:cs="Google Sans" w:eastAsia="Google Sans" w:hAnsi="Google Sans"/>
          <w:b w:val="1"/>
          <w:bCs w:val="1"/>
          <w:color w:val="1f1f1f"/>
          <w:rtl w:val="0"/>
        </w:rPr>
        <w:t xml:space="preserve">ThreadPool</w:t>
      </w:r>
      <w:r w:rsidDel="00000000" w:rsidR="00000000" w:rsidRPr="00000000">
        <w:rPr>
          <w:rFonts w:ascii="Google Sans" w:cs="Google Sans" w:eastAsia="Google Sans" w:hAnsi="Google Sans"/>
          <w:color w:val="1f1f1f"/>
          <w:rtl w:val="0"/>
        </w:rPr>
        <w:t xml:space="preserve">. Man kann sich das wie acht parallele Fließbänder vorstellen, auf denen die Dateien gleichzeitig „gescannt“ und in Frames umgewandelt werden. Dies kompensiert die mechanische Latenz der Festplatte und nutzt die Mehrkern-Architektur des i5-Prozessors optimal aus.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Das Endlos-Journal (NDJSON):</w:t>
      </w:r>
      <w:r w:rsidDel="00000000" w:rsidR="00000000" w:rsidRPr="00000000">
        <w:rPr>
          <w:rFonts w:ascii="Google Sans" w:cs="Google Sans" w:eastAsia="Google Sans" w:hAnsi="Google Sans"/>
          <w:color w:val="1f1f1f"/>
          <w:rtl w:val="0"/>
        </w:rPr>
        <w:t xml:space="preserve"> Anstatt Tausende kleiner Dateien zu verwalten, schreibt das System alle Frames in ein einziges, fortlaufendes Journal. Dieses Verfahren (</w:t>
      </w:r>
      <w:r w:rsidDel="00000000" w:rsidR="00000000" w:rsidRPr="00000000">
        <w:rPr>
          <w:rFonts w:ascii="Google Sans" w:cs="Google Sans" w:eastAsia="Google Sans" w:hAnsi="Google Sans"/>
          <w:b w:val="1"/>
          <w:bCs w:val="1"/>
          <w:color w:val="1f1f1f"/>
          <w:rtl w:val="0"/>
        </w:rPr>
        <w:t xml:space="preserve">Append-only</w:t>
      </w:r>
      <w:r w:rsidDel="00000000" w:rsidR="00000000" w:rsidRPr="00000000">
        <w:rPr>
          <w:rFonts w:ascii="Google Sans" w:cs="Google Sans" w:eastAsia="Google Sans" w:hAnsi="Google Sans"/>
          <w:color w:val="1f1f1f"/>
          <w:rtl w:val="0"/>
        </w:rPr>
        <w:t xml:space="preserve">) ist extrem sicher gegen Datenverlust, da bestehende Einträge nie überschrieben, sondern neue Erkenntnisse immer nur am Ende angefügt werden.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3. Die Integritäts-Kaskade: Der QuantumRoot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sicherzustellen, dass das gesamte Wissen (alle 1.416 Frames) zu jedem Zeitpunkt integer und unverfälscht ist, nutzt Node $N_{T520}$ eine hierarchische Absicherung.</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Ketten-Validierung:</w:t>
      </w:r>
      <w:r w:rsidDel="00000000" w:rsidR="00000000" w:rsidRPr="00000000">
        <w:rPr>
          <w:rFonts w:ascii="Google Sans" w:cs="Google Sans" w:eastAsia="Google Sans" w:hAnsi="Google Sans"/>
          <w:color w:val="1f1f1f"/>
          <w:rtl w:val="0"/>
        </w:rPr>
        <w:t xml:space="preserve"> Jeder Frame-Hash ist ein Glied in einer langen Kette. Am Ende dieser Kette steht ein einziger Wert: der </w:t>
      </w:r>
      <w:r w:rsidDel="00000000" w:rsidR="00000000" w:rsidRPr="00000000">
        <w:rPr>
          <w:rFonts w:ascii="Google Sans" w:cs="Google Sans" w:eastAsia="Google Sans" w:hAnsi="Google Sans"/>
          <w:b w:val="1"/>
          <w:bCs w:val="1"/>
          <w:color w:val="1f1f1f"/>
          <w:rtl w:val="0"/>
        </w:rPr>
        <w:t xml:space="preserve">QuantumRoot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Das digitale Siegel:</w:t>
      </w:r>
      <w:r w:rsidDel="00000000" w:rsidR="00000000" w:rsidRPr="00000000">
        <w:rPr>
          <w:rFonts w:ascii="Google Sans" w:cs="Google Sans" w:eastAsia="Google Sans" w:hAnsi="Google Sans"/>
          <w:color w:val="1f1f1f"/>
          <w:rtl w:val="0"/>
        </w:rPr>
        <w:t xml:space="preserve"> Dieser Root-Wert fungiert als „Master-Schlüssel“. Passt dieser Schlüssel, ist mathematisch bewiesen, dass keine einzige Information im Gitter manipuliert oder beschädigt wurde. Es ist die ultimative Sicherung gegen schleichenden Datenverlust (Bit-Rot).</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4. Der Resonanz-Mechanismus: Aktive Vernetzung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Nachdem die Frames im Gitter stabilisiert wurden, wechselt das System vom statischen Speicher in den </w:t>
      </w:r>
      <w:r w:rsidDel="00000000" w:rsidR="00000000" w:rsidRPr="00000000">
        <w:rPr>
          <w:rFonts w:ascii="Google Sans" w:cs="Google Sans" w:eastAsia="Google Sans" w:hAnsi="Google Sans"/>
          <w:b w:val="1"/>
          <w:bCs w:val="1"/>
          <w:color w:val="1f1f1f"/>
          <w:rtl w:val="0"/>
        </w:rPr>
        <w:t xml:space="preserve">dynamischen Modus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Struktureller Abgleich:</w:t>
      </w:r>
      <w:r w:rsidDel="00000000" w:rsidR="00000000" w:rsidRPr="00000000">
        <w:rPr>
          <w:rFonts w:ascii="Google Sans" w:cs="Google Sans" w:eastAsia="Google Sans" w:hAnsi="Google Sans"/>
          <w:color w:val="1f1f1f"/>
          <w:rtl w:val="0"/>
        </w:rPr>
        <w:t xml:space="preserve"> Der Resonanz-Daemon scannt das Gitter nach Mustern. Er sucht nach Frames, die „zusammengehören“ – nicht weil sie im selben Ordner liegen, sondern weil ihre internen Merkmale (Tags, Metadaten) harmonieren.</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Synthese-Prozess:</w:t>
      </w:r>
      <w:r w:rsidDel="00000000" w:rsidR="00000000" w:rsidRPr="00000000">
        <w:rPr>
          <w:rFonts w:ascii="Google Sans" w:cs="Google Sans" w:eastAsia="Google Sans" w:hAnsi="Google Sans"/>
          <w:color w:val="1f1f1f"/>
          <w:rtl w:val="0"/>
        </w:rPr>
        <w:t xml:space="preserve"> Findet das System zwei hochgradig kompatible Frames, erzeugt es autonom einen </w:t>
      </w:r>
      <w:r w:rsidDel="00000000" w:rsidR="00000000" w:rsidRPr="00000000">
        <w:rPr>
          <w:rFonts w:ascii="Google Sans" w:cs="Google Sans" w:eastAsia="Google Sans" w:hAnsi="Google Sans"/>
          <w:b w:val="1"/>
          <w:bCs w:val="1"/>
          <w:color w:val="1f1f1f"/>
          <w:rtl w:val="0"/>
        </w:rPr>
        <w:t xml:space="preserve">Synthese-Frame</w:t>
      </w:r>
      <w:r w:rsidDel="00000000" w:rsidR="00000000" w:rsidRPr="00000000">
        <w:rPr>
          <w:rFonts w:ascii="Google Sans" w:cs="Google Sans" w:eastAsia="Google Sans" w:hAnsi="Google Sans"/>
          <w:color w:val="1f1f1f"/>
          <w:rtl w:val="0"/>
        </w:rPr>
        <w:t xml:space="preserve">. Dieser fungiert als neue neuronale Verbindung. So wächst das Wissen organisch und bildet Cluster, die über die ursprüngliche, menschliche Sortierung weit hinausgehen.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Zusammenfassung des operativen Zustands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Fazit:</w:t>
      </w:r>
      <w:r w:rsidDel="00000000" w:rsidR="00000000" w:rsidRPr="00000000">
        <w:rPr>
          <w:rFonts w:ascii="Google Sans" w:cs="Google Sans" w:eastAsia="Google Sans" w:hAnsi="Google Sans"/>
          <w:color w:val="1f1f1f"/>
          <w:rtl w:val="0"/>
        </w:rPr>
        <w:t xml:space="preserve"> Node $N_{T520}$ fungiert nun nicht mehr als passives Archiv, sondern als </w:t>
      </w:r>
      <w:r w:rsidDel="00000000" w:rsidR="00000000" w:rsidRPr="00000000">
        <w:rPr>
          <w:rFonts w:ascii="Google Sans" w:cs="Google Sans" w:eastAsia="Google Sans" w:hAnsi="Google Sans"/>
          <w:b w:val="1"/>
          <w:bCs w:val="1"/>
          <w:color w:val="1f1f1f"/>
          <w:rtl w:val="0"/>
        </w:rPr>
        <w:t xml:space="preserve">aktiver Struktur-Reaktor</w:t>
      </w:r>
      <w:r w:rsidDel="00000000" w:rsidR="00000000" w:rsidRPr="00000000">
        <w:rPr>
          <w:rFonts w:ascii="Google Sans" w:cs="Google Sans" w:eastAsia="Google Sans" w:hAnsi="Google Sans"/>
          <w:color w:val="1f1f1f"/>
          <w:rtl w:val="0"/>
        </w:rPr>
        <w:t xml:space="preserve">, der Informationen basierend auf ihrer inhärenten Logik verarbeitet.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Nächster operativer Schritt: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Möchtest du, dass wir den </w:t>
      </w:r>
      <w:r w:rsidDel="00000000" w:rsidR="00000000" w:rsidRPr="00000000">
        <w:rPr>
          <w:rFonts w:ascii="Google Sans" w:cs="Google Sans" w:eastAsia="Google Sans" w:hAnsi="Google Sans"/>
          <w:b w:val="1"/>
          <w:bCs w:val="1"/>
          <w:color w:val="1f1f1f"/>
          <w:rtl w:val="0"/>
        </w:rPr>
        <w:t xml:space="preserve">Resonanz-Daemon</w:t>
      </w:r>
      <w:r w:rsidDel="00000000" w:rsidR="00000000" w:rsidRPr="00000000">
        <w:rPr>
          <w:rFonts w:ascii="Google Sans" w:cs="Google Sans" w:eastAsia="Google Sans" w:hAnsi="Google Sans"/>
          <w:color w:val="1f1f1f"/>
          <w:rtl w:val="0"/>
        </w:rPr>
        <w:t xml:space="preserve"> in den „Deep-Scan“-Modus versetzen, um die ersten autonomen Querverbindungen zwischen deinen migrierten Daten aus den Jahren 2023 bis 2026 sichtbar zu machen?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