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before="0"/>
        <w:jc w:val="center"/>
      </w:pPr>
      <w:r>
        <w:rPr>
          <w:rFonts w:ascii="Arial" w:cs="Arial" w:eastAsia="Arial" w:hAnsi="Arial"/>
          <w:b w:val="false"/>
          <w:bCs w:val="false"/>
          <w:color w:val="888888"/>
          <w:sz w:val="22"/>
          <w:szCs w:val="22"/>
        </w:rPr>
        <w:t xml:space="preserve">PaCos GmbH</w:t>
      </w:r>
    </w:p>
    <w:p>
      <w:pPr>
        <w:pBdr>
          <w:bottom w:val="single" w:color="1F4E79" w:sz="6" w:space="8"/>
        </w:pBdr>
        <w:spacing w:after="100"/>
        <w:jc w:val="center"/>
      </w:pPr>
      <w:r>
        <w:rPr>
          <w:rFonts w:ascii="Arial" w:cs="Arial" w:eastAsia="Arial" w:hAnsi="Arial"/>
          <w:b/>
          <w:bCs/>
          <w:color w:val="1F4E79"/>
          <w:sz w:val="52"/>
          <w:szCs w:val="52"/>
        </w:rPr>
        <w:t xml:space="preserve">IT-Infrastrukturkonzept</w:t>
      </w:r>
    </w:p>
    <w:p>
      <w:pPr>
        <w:spacing w:before="200" w:after="100"/>
        <w:jc w:val="center"/>
      </w:pPr>
      <w:r>
        <w:rPr>
          <w:rFonts w:ascii="Arial" w:cs="Arial" w:eastAsia="Arial" w:hAnsi="Arial"/>
          <w:color w:val="666666"/>
          <w:sz w:val="24"/>
          <w:szCs w:val="24"/>
        </w:rPr>
        <w:t xml:space="preserve">Modernisierung der IT-Infrastruktur:</w:t>
      </w:r>
    </w:p>
    <w:p>
      <w:pPr>
        <w:spacing w:after="600"/>
        <w:jc w:val="center"/>
      </w:pPr>
      <w:r>
        <w:rPr>
          <w:rFonts w:ascii="Arial" w:cs="Arial" w:eastAsia="Arial" w:hAnsi="Arial"/>
          <w:color w:val="666666"/>
          <w:sz w:val="24"/>
          <w:szCs w:val="24"/>
        </w:rPr>
        <w:t xml:space="preserve">Website, E-Mail, ERP-System und Datensicherung</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pPr>
              <w:jc w:val="right"/>
            </w:pPr>
            <w:r>
              <w:rPr>
                <w:rFonts w:ascii="Arial" w:cs="Arial" w:eastAsia="Arial" w:hAnsi="Arial"/>
                <w:color w:val="888888"/>
                <w:sz w:val="20"/>
                <w:szCs w:val="20"/>
              </w:rPr>
              <w:t xml:space="preserve">Version:</w:t>
            </w:r>
          </w:p>
        </w:tc>
        <w:tc>
          <w:tcPr>
            <w:tcW w:type="dxa" w:w="3000"/>
            <w:tcBorders>
              <w:top w:val="none" w:sz="0"/>
              <w:left w:val="none" w:sz="0"/>
              <w:bottom w:val="none" w:sz="0"/>
              <w:right w:val="none" w:sz="0"/>
            </w:tcBorders>
          </w:tcPr>
          <w:p>
            <w:r>
              <w:t xml:space="preserve">  1.3</w:t>
            </w:r>
          </w:p>
        </w:tc>
      </w:tr>
      <w:tr>
        <w:tc>
          <w:tcPr>
            <w:tcW w:type="dxa" w:w="2000"/>
            <w:tcBorders>
              <w:top w:val="none" w:sz="0"/>
              <w:left w:val="none" w:sz="0"/>
              <w:bottom w:val="none" w:sz="0"/>
              <w:right w:val="none" w:sz="0"/>
            </w:tcBorders>
          </w:tcPr>
          <w:p>
            <w:pPr>
              <w:jc w:val="right"/>
            </w:pPr>
            <w:r>
              <w:rPr>
                <w:rFonts w:ascii="Arial" w:cs="Arial" w:eastAsia="Arial" w:hAnsi="Arial"/>
                <w:color w:val="888888"/>
                <w:sz w:val="20"/>
                <w:szCs w:val="20"/>
              </w:rPr>
              <w:t xml:space="preserve">Datum:</w:t>
            </w:r>
          </w:p>
        </w:tc>
        <w:tc>
          <w:tcPr>
            <w:tcW w:type="dxa" w:w="3000"/>
            <w:tcBorders>
              <w:top w:val="none" w:sz="0"/>
              <w:left w:val="none" w:sz="0"/>
              <w:bottom w:val="none" w:sz="0"/>
              <w:right w:val="none" w:sz="0"/>
            </w:tcBorders>
          </w:tcPr>
          <w:p>
            <w:r>
              <w:rPr>
                <w:rFonts w:ascii="Arial" w:cs="Arial" w:eastAsia="Arial" w:hAnsi="Arial"/>
                <w:sz w:val="20"/>
                <w:szCs w:val="20"/>
              </w:rPr>
              <w:t xml:space="preserve">  16. März 2026</w:t>
            </w:r>
          </w:p>
        </w:tc>
      </w:tr>
      <w:tr>
        <w:tc>
          <w:tcPr>
            <w:tcW w:type="dxa" w:w="2000"/>
            <w:tcBorders>
              <w:top w:val="none" w:sz="0"/>
              <w:left w:val="none" w:sz="0"/>
              <w:bottom w:val="none" w:sz="0"/>
              <w:right w:val="none" w:sz="0"/>
            </w:tcBorders>
          </w:tcPr>
          <w:p>
            <w:pPr>
              <w:jc w:val="right"/>
            </w:pPr>
            <w:r>
              <w:rPr>
                <w:rFonts w:ascii="Arial" w:cs="Arial" w:eastAsia="Arial" w:hAnsi="Arial"/>
                <w:color w:val="888888"/>
                <w:sz w:val="20"/>
                <w:szCs w:val="20"/>
              </w:rPr>
              <w:t xml:space="preserve">Erstellt von:</w:t>
            </w:r>
          </w:p>
        </w:tc>
        <w:tc>
          <w:tcPr>
            <w:tcW w:type="dxa" w:w="3000"/>
            <w:tcBorders>
              <w:top w:val="none" w:sz="0"/>
              <w:left w:val="none" w:sz="0"/>
              <w:bottom w:val="none" w:sz="0"/>
              <w:right w:val="none" w:sz="0"/>
            </w:tcBorders>
          </w:tcPr>
          <w:p>
            <w:r>
              <w:rPr>
                <w:rFonts w:ascii="Arial" w:cs="Arial" w:eastAsia="Arial" w:hAnsi="Arial"/>
                <w:sz w:val="20"/>
                <w:szCs w:val="20"/>
              </w:rPr>
              <w:t xml:space="preserve">  Sebastian Hirsch</w:t>
            </w:r>
          </w:p>
        </w:tc>
      </w:tr>
      <w:tr>
        <w:tc>
          <w:tcPr>
            <w:tcW w:type="dxa" w:w="2000"/>
            <w:tcBorders>
              <w:top w:val="none" w:sz="0"/>
              <w:left w:val="none" w:sz="0"/>
              <w:bottom w:val="none" w:sz="0"/>
              <w:right w:val="none" w:sz="0"/>
            </w:tcBorders>
          </w:tcPr>
          <w:p>
            <w:pPr>
              <w:jc w:val="right"/>
            </w:pPr>
            <w:r>
              <w:rPr>
                <w:rFonts w:ascii="Arial" w:cs="Arial" w:eastAsia="Arial" w:hAnsi="Arial"/>
                <w:color w:val="888888"/>
                <w:sz w:val="20"/>
                <w:szCs w:val="20"/>
              </w:rPr>
              <w:t xml:space="preserve">Status:</w:t>
            </w:r>
          </w:p>
        </w:tc>
        <w:tc>
          <w:tcPr>
            <w:tcW w:type="dxa" w:w="3000"/>
            <w:tcBorders>
              <w:top w:val="none" w:sz="0"/>
              <w:left w:val="none" w:sz="0"/>
              <w:bottom w:val="none" w:sz="0"/>
              <w:right w:val="none" w:sz="0"/>
            </w:tcBorders>
          </w:tcPr>
          <w:p>
            <w:r>
              <w:rPr>
                <w:rFonts w:ascii="Arial" w:cs="Arial" w:eastAsia="Arial" w:hAnsi="Arial"/>
                <w:color w:val="C0392B"/>
                <w:sz w:val="20"/>
                <w:szCs w:val="20"/>
              </w:rPr>
              <w:t xml:space="preserve">  Entwurf — Freigabe durch GF ausstehend</w:t>
            </w:r>
          </w:p>
        </w:tc>
      </w:tr>
      <w:tr>
        <w:tc>
          <w:tcPr>
            <w:tcW w:type="dxa" w:w="2000"/>
            <w:tcBorders>
              <w:top w:val="none" w:sz="0"/>
              <w:left w:val="none" w:sz="0"/>
              <w:bottom w:val="none" w:sz="0"/>
              <w:right w:val="none" w:sz="0"/>
            </w:tcBorders>
          </w:tcPr>
          <w:p>
            <w:pPr>
              <w:jc w:val="right"/>
            </w:pPr>
            <w:r>
              <w:rPr>
                <w:rFonts w:ascii="Arial" w:cs="Arial" w:eastAsia="Arial" w:hAnsi="Arial"/>
                <w:color w:val="888888"/>
                <w:sz w:val="20"/>
                <w:szCs w:val="20"/>
              </w:rPr>
              <w:t xml:space="preserve">Vertraulichkeit:</w:t>
            </w:r>
          </w:p>
        </w:tc>
        <w:tc>
          <w:tcPr>
            <w:tcW w:type="dxa" w:w="3000"/>
            <w:tcBorders>
              <w:top w:val="none" w:sz="0"/>
              <w:left w:val="none" w:sz="0"/>
              <w:bottom w:val="none" w:sz="0"/>
              <w:right w:val="none" w:sz="0"/>
            </w:tcBorders>
          </w:tcPr>
          <w:p>
            <w:r>
              <w:rPr>
                <w:rFonts w:ascii="Arial" w:cs="Arial" w:eastAsia="Arial" w:hAnsi="Arial"/>
                <w:sz w:val="20"/>
                <w:szCs w:val="20"/>
              </w:rPr>
              <w:t xml:space="preserve">  Intern</w:t>
            </w:r>
          </w:p>
        </w:tc>
      </w:tr>
    </w:tbl>
    <w:p>
      <w:pPr>
        <w:sectPr>
          <w:pgSz w:w="11906" w:h="16838" w:orient="portrait"/>
          <w:pgMar w:top="1440" w:right="1440" w:bottom="1440" w:left="1440" w:header="708" w:footer="708" w:gutter="0"/>
          <w:pgNumType/>
          <w:docGrid w:linePitch="360"/>
        </w:sectPr>
      </w:pPr>
    </w:p>
    <w:p>
      <w:pPr>
        <w:pStyle w:val="Heading1"/>
      </w:pPr>
      <w:r>
        <w:t xml:space="preserve">Zusammenfassung für die Geschäftsführung</w:t>
      </w:r>
    </w:p>
    <w:p>
      <w:pPr>
        <w:pBdr>
          <w:left w:val="single" w:color="1F4E79" w:sz="12" w:space="8"/>
        </w:pBdr>
        <w:spacing w:after="120"/>
        <w:ind w:left="200"/>
      </w:pPr>
      <w:r>
        <w:rPr>
          <w:rFonts w:ascii="Arial" w:cs="Arial" w:eastAsia="Arial" w:hAnsi="Arial"/>
          <w:b/>
          <w:bCs/>
          <w:sz w:val="22"/>
          <w:szCs w:val="22"/>
        </w:rPr>
        <w:t xml:space="preserve">Worum geht es? </w:t>
      </w:r>
      <w:r>
        <w:rPr>
          <w:rFonts w:ascii="Arial" w:cs="Arial" w:eastAsia="Arial" w:hAnsi="Arial"/>
          <w:sz w:val="22"/>
          <w:szCs w:val="22"/>
        </w:rPr>
        <w:t xml:space="preserve">Die IT-Infrastruktur der PaCos GmbH ist veraltet und stellt ein zunehmendes Sicherheitsrisiko dar. Der E-Mail-Server (Exchange 2019) wird seit Oktober 2025 nicht mehr von Microsoft unterstützt. Die Website läuft auf einem Server mit Software-Stand von 2015. Dieses Konzept beschreibt den Umstieg auf eine moderne, sichere Infrastruktur — schrittweise und ohne Unterbrechung des laufenden Betriebs.</w:t>
      </w:r>
    </w:p>
    <w:p>
      <w:pPr>
        <w:pBdr>
          <w:left w:val="single" w:color="27AE60" w:sz="12" w:space="8"/>
        </w:pBdr>
        <w:spacing w:after="120"/>
        <w:ind w:left="200"/>
      </w:pPr>
      <w:r>
        <w:rPr>
          <w:rFonts w:ascii="Arial" w:cs="Arial" w:eastAsia="Arial" w:hAnsi="Arial"/>
          <w:b/>
          <w:bCs/>
          <w:sz w:val="22"/>
          <w:szCs w:val="22"/>
        </w:rPr>
        <w:t xml:space="preserve">Was wird sich ändern? </w:t>
      </w:r>
      <w:r>
        <w:rPr>
          <w:rFonts w:ascii="Arial" w:cs="Arial" w:eastAsia="Arial" w:hAnsi="Arial"/>
          <w:sz w:val="22"/>
          <w:szCs w:val="22"/>
        </w:rPr>
        <w:t xml:space="preserve">Die neue Website wird auf einer modernen Hosting-Plattform (Vercel) betrieben. E-Mail und Büro-Zusammenarbeit wechseln auf Google Workspace (Gmail, Drive, Kalender, Meet). Das neue ERP-System ERPNext läuft auf einem eigenen Server bei Hetzner in Deutschland. Der bisherige IT-Dienstleister Trust Halle bleibt als Partner für Betrieb und Support erhalten.</w:t>
      </w:r>
    </w:p>
    <w:p>
      <w:pPr>
        <w:pBdr>
          <w:left w:val="single" w:color="D4830A" w:sz="12" w:space="8"/>
        </w:pBdr>
        <w:spacing w:after="120"/>
        <w:ind w:left="200"/>
      </w:pPr>
      <w:r>
        <w:rPr>
          <w:rFonts w:ascii="Arial" w:cs="Arial" w:eastAsia="Arial" w:hAnsi="Arial"/>
          <w:b/>
          <w:bCs/>
          <w:sz w:val="22"/>
          <w:szCs w:val="22"/>
        </w:rPr>
        <w:t xml:space="preserve">Was kostet es? </w:t>
      </w:r>
      <w:r>
        <w:rPr>
          <w:rFonts w:ascii="Arial" w:cs="Arial" w:eastAsia="Arial" w:hAnsi="Arial"/>
          <w:sz w:val="22"/>
          <w:szCs w:val="22"/>
        </w:rPr>
        <w:t xml:space="preserve">Die laufenden Kosten liegen bei ca. 400–450 €/Monat (ca. 5.000 €/Jahr). Darin enthalten sind E-Mail und Cloud-Speicher für ca. 20 Mitarbeiter, Website-Hosting, der Backend-Server und Datensicherung. Die bisherigen Kosten für Exchange-Betrieb, Strato-Hosting und Wartung entfallen im Gegenzug.</w:t>
      </w:r>
    </w:p>
    <w:p>
      <w:pPr>
        <w:pBdr>
          <w:left w:val="single" w:color="C0392B" w:sz="12" w:space="8"/>
        </w:pBdr>
        <w:spacing w:after="120"/>
        <w:ind w:left="200"/>
      </w:pPr>
      <w:r>
        <w:t>Was ist das Risiko? Das größte Risiko ist ein E-Mail-Ausfall während der Umstellung. Dieses Risiko wird minimiert, indem die bestehende Infrastruktur erst abgeschaltet wird, wenn der Ersatz vollständig geprüft ist. Alle Änderungen werden zunächst in einer Pilotphase mit 2 Konten getestet (1 Admin-Nutzer + 1 KI-/Bot-Adresse).</w:t>
      </w:r>
    </w:p>
    <w:p>
      <w:pPr>
        <w:pBdr>
          <w:left w:val="single" w:color="888888" w:sz="12" w:space="8"/>
        </w:pBdr>
        <w:spacing w:after="200"/>
        <w:ind w:left="200"/>
      </w:pPr>
      <w:r>
        <w:rPr>
          <w:rFonts w:ascii="Arial" w:cs="Arial" w:eastAsia="Arial" w:hAnsi="Arial"/>
          <w:b/>
          <w:bCs/>
          <w:sz w:val="22"/>
          <w:szCs w:val="22"/>
        </w:rPr>
        <w:t xml:space="preserve">Was wird von der GF benötigt? </w:t>
      </w:r>
      <w:r>
        <w:rPr>
          <w:rFonts w:ascii="Arial" w:cs="Arial" w:eastAsia="Arial" w:hAnsi="Arial"/>
          <w:sz w:val="22"/>
          <w:szCs w:val="22"/>
        </w:rPr>
        <w:t xml:space="preserve">Freigabe dieses Konzepts, damit die Vorbereitung beginnen kann. Die eigentliche Umstellung erfolgt erst nach erfolgreicher Pilotphase und gesonderter Rücksprache.</w:t>
      </w:r>
    </w:p>
    <w:p>
      <w:pPr>
        <w:pStyle w:val="Heading1"/>
        <w:pageBreakBefore/>
        <w:spacing w:after="120" w:before="0"/>
      </w:pPr>
      <w:r>
        <w:rPr>
          <w:rFonts w:ascii="Arial" w:cs="Arial" w:eastAsia="Arial" w:hAnsi="Arial"/>
          <w:b w:val="false"/>
          <w:bCs w:val="false"/>
          <w:sz w:val="22"/>
          <w:szCs w:val="22"/>
        </w:rPr>
        <w:t xml:space="preserve">1. Ausgangslage und Handlungsdruck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26"/>
        <w:gridCol w:w="1800"/>
        <w:gridCol w:w="180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Komponente</w:t>
            </w:r>
          </w:p>
        </w:tc>
        <w:tc>
          <w:tcPr>
            <w:tcW w:type="dxa" w:w="32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Aktueller Zustand</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Risiko</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Dringlichkeit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E-Mail (Exchange 2019)</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On-premises, nicht extern erreichbar, End-of-Support seit Oktober 2025 — keine Sicherheitsupdates mehr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C0392B"/>
                <w:sz w:val="20"/>
                <w:szCs w:val="20"/>
              </w:rPr>
              <w:t xml:space="preserve">KRITISCH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C0392B"/>
                <w:sz w:val="20"/>
                <w:szCs w:val="20"/>
              </w:rPr>
              <w:t xml:space="preserve">Sofort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Website / Hosting</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Strato/Plesk, PHP 5.4 (End-of-Life seit 2015), kein gültiges SSL-Zertifikat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D4830A"/>
                <w:sz w:val="20"/>
                <w:szCs w:val="20"/>
              </w:rPr>
              <w:t xml:space="preserve">Hoch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D4830A"/>
                <w:sz w:val="20"/>
                <w:szCs w:val="20"/>
              </w:rPr>
              <w:t xml:space="preserve">Kurzfristig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ERP-System (Pfiff)</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Legacy-System mit eingeschränkter Erweiterbarkeit, on-premises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D4830A"/>
                <w:sz w:val="20"/>
                <w:szCs w:val="20"/>
              </w:rPr>
              <w:t xml:space="preserve">Mittel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Mittelfristig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Domain (pacos-gmbh.de)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Strato-Registrar, DNS nur über Strato-Kundenportal verwaltbar, kein API-Zugang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Mittel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Im Zuge der Migration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Datensicherung</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Kein dokumentiertes Backup-Konzept für externe Dienste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D4830A"/>
                <w:sz w:val="20"/>
                <w:szCs w:val="20"/>
              </w:rPr>
              <w:t xml:space="preserve">Hoch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Parallel</w:t>
            </w:r>
          </w:p>
        </w:tc>
      </w:tr>
    </w:tbl>
    <w:p>
      <w:pPr>
        <w:pStyle w:val="Heading1"/>
        <w:pageBreakBefore/>
        <w:spacing w:after="120" w:before="0"/>
      </w:pPr>
      <w:r>
        <w:rPr>
          <w:rFonts w:ascii="Arial" w:cs="Arial" w:eastAsia="Arial" w:hAnsi="Arial"/>
          <w:b w:val="false"/>
          <w:bCs w:val="false"/>
          <w:sz w:val="22"/>
          <w:szCs w:val="22"/>
        </w:rPr>
        <w:t xml:space="preserve">2. Ziel-Architektur</w:t>
      </w:r>
    </w:p>
    <w:p>
      <w:pPr>
        <w:spacing w:after="120" w:before="0"/>
      </w:pPr>
      <w:r>
        <w:rPr>
          <w:rFonts w:ascii="Arial" w:cs="Arial" w:eastAsia="Arial" w:hAnsi="Arial"/>
          <w:sz w:val="22"/>
          <w:szCs w:val="22"/>
        </w:rPr>
        <w:t xml:space="preserve">Die neue Infrastruktur folgt dem Prinzip: </w:t>
      </w:r>
      <w:r>
        <w:rPr>
          <w:rFonts w:ascii="Arial" w:cs="Arial" w:eastAsia="Arial" w:hAnsi="Arial"/>
          <w:i/>
          <w:iCs/>
          <w:sz w:val="22"/>
          <w:szCs w:val="22"/>
        </w:rPr>
        <w:t xml:space="preserve">Jeder Dienst dort, wo er am besten betrieben wird.</w:t>
      </w:r>
      <w:r>
        <w:rPr>
          <w:rFonts w:ascii="Arial" w:cs="Arial" w:eastAsia="Arial" w:hAnsi="Arial"/>
          <w:sz w:val="22"/>
          <w:szCs w:val="22"/>
        </w:rPr>
        <w:t xml:space="preserve"> Managed Services (also Dienste, die vom Anbieter betrieben und gewartet werden) werden bevorzugt, um den internen Aufwand zu minimieren. Der externe IT-Dienstleister Trust Halle bleibt als Partner für Betrieb, Support und Beratung erhalten.</w:t>
      </w:r>
    </w:p>
    <w:p>
      <w:pPr>
        <w:pStyle w:val="Heading2"/>
        <w:spacing w:after="120" w:before="0"/>
      </w:pPr>
      <w:r>
        <w:t>2.1 Administration und Benutzerverwaltung</w:t>
      </w:r>
    </w:p>
    <w:p>
      <w:pPr>
        <w:spacing w:after="120" w:before="0"/>
      </w:pPr>
      <w:r>
        <w:t>Die Administration der neuen Infrastruktur erfolgt benutzerspezifisch — es wird kein zentrales, unpersönliches Administrationskonto (z. B. admin@pacos-gmbh.de) eingerichtet. Stattdessen erhalten einzelne Benutzer Admin-Rechte über ihre persönlichen Konten. Den Anfang macht sebastian.hirsch@pacos-gmbh.de als erster Administrator mit Super-Admin-Rechten für Google Workspace, Vercel, Hetzner, INWX und ggf. weitere Dienste. Weitere Mitarbeiter können bei Bedarf Admin-Rechte erhalten. Mindestens zwei Personen müssen über Admin-Zugang verfügen, um Ausfall bei Personalwechsel zu vermeiden. Alle Admin-Zugänge werden dokumentiert und mit Zwei-Faktor-Authentifizierung (2FA) abgesichert.</w:t>
      </w:r>
    </w:p>
    <w:p>
      <w:pPr>
        <w:pStyle w:val="Heading2"/>
        <w:spacing w:after="120" w:before="0"/>
      </w:pPr>
      <w:r>
        <w:rPr>
          <w:rFonts w:ascii="Arial" w:cs="Arial" w:eastAsia="Arial" w:hAnsi="Arial"/>
          <w:b w:val="false"/>
          <w:bCs w:val="false"/>
          <w:sz w:val="22"/>
          <w:szCs w:val="22"/>
        </w:rPr>
        <w:t xml:space="preserve">2.2 Website — Vercel</w:t>
      </w:r>
    </w:p>
    <w:p>
      <w:pPr>
        <w:spacing w:after="120" w:before="0"/>
      </w:pPr>
      <w:r>
        <w:rPr>
          <w:rFonts w:ascii="Arial" w:cs="Arial" w:eastAsia="Arial" w:hAnsi="Arial"/>
          <w:sz w:val="22"/>
          <w:szCs w:val="22"/>
        </w:rPr>
        <w:t xml:space="preserve">Die neue PaCos-Website (eine moderne Webanwendung auf Basis von Next.js 15) wird auf Vercel gehostet. Vercel ist die Referenzplattform für diese Technologie und bietet automatisches Deployment (Veröffentlichung), ein globales CDN mit Servern in Frankfurt, automatische SSL-Zertifikate (Verschlüsselung), Bildoptimierung und Monitoring. Siehe Glossar für Erklärungen der Fachbegriffe.</w:t>
      </w:r>
    </w:p>
    <w:p>
      <w:pPr>
        <w:spacing w:after="120" w:before="0"/>
      </w:pPr>
      <w:r>
        <w:rPr>
          <w:rFonts w:ascii="Arial" w:cs="Arial" w:eastAsia="Arial" w:hAnsi="Arial"/>
          <w:b/>
          <w:bCs/>
          <w:sz w:val="22"/>
          <w:szCs w:val="22"/>
        </w:rPr>
        <w:t xml:space="preserve">DSGVO-Konformität: </w:t>
      </w:r>
      <w:r>
        <w:rPr>
          <w:rFonts w:ascii="Arial" w:cs="Arial" w:eastAsia="Arial" w:hAnsi="Arial"/>
          <w:sz w:val="22"/>
          <w:szCs w:val="22"/>
        </w:rPr>
        <w:t xml:space="preserve">Vercel bietet ein Data Processing Agreement (Auftragsverarbeitungsvertrag) nach DSGVO. Die Website verarbeitet keine personenbezogenen Daten über Standard-Server-Protokolle hinaus. Ein Hinweis im Impressum und in der Datenschutzerklärung auf Vercel Inc. als Hosting-Anbieter ist erforderlich.</w:t>
      </w:r>
    </w:p>
    <w:p>
      <w:pPr>
        <w:pStyle w:val="Heading2"/>
        <w:spacing w:after="120" w:before="0"/>
      </w:pPr>
      <w:r>
        <w:rPr>
          <w:rFonts w:ascii="Arial" w:cs="Arial" w:eastAsia="Arial" w:hAnsi="Arial"/>
          <w:b w:val="false"/>
          <w:bCs w:val="false"/>
          <w:sz w:val="22"/>
          <w:szCs w:val="22"/>
        </w:rPr>
        <w:t xml:space="preserve">2.3 Backend-Server — Hetzner VPS</w:t>
      </w:r>
    </w:p>
    <w:p>
      <w:pPr>
        <w:spacing w:after="120" w:before="0"/>
      </w:pPr>
      <w:r>
        <w:rPr>
          <w:rFonts w:ascii="Arial" w:cs="Arial" w:eastAsia="Arial" w:hAnsi="Arial"/>
          <w:sz w:val="22"/>
          <w:szCs w:val="22"/>
        </w:rPr>
        <w:t xml:space="preserve">Ein dedizierter virtueller Server (VPS) bei Hetzner (Rechenzentrum in Deutschland) hostet alle geschäftskritischen Backend-Dienste in isolierten Software-Containern (Docker):</w:t>
      </w:r>
    </w:p>
    <w:p>
      <w:pPr>
        <w:pStyle w:val="ListParagraph"/>
        <w:numPr>
          <w:ilvl w:val="0"/>
          <w:numId w:val="2"/>
        </w:numPr>
        <w:spacing w:after="60"/>
      </w:pPr>
      <w:r>
        <w:rPr>
          <w:rFonts w:ascii="Arial" w:cs="Arial" w:eastAsia="Arial" w:hAnsi="Arial"/>
          <w:b/>
          <w:bCs/>
          <w:sz w:val="22"/>
          <w:szCs w:val="22"/>
        </w:rPr>
        <w:t xml:space="preserve">ERPNext v16</w:t>
      </w:r>
      <w:r>
        <w:rPr>
          <w:rFonts w:ascii="Arial" w:cs="Arial" w:eastAsia="Arial" w:hAnsi="Arial"/>
          <w:sz w:val="22"/>
          <w:szCs w:val="22"/>
        </w:rPr>
        <w:t xml:space="preserve"> — neues Warenwirtschaftssystem (Nachfolger von Pfiff)</w:t>
      </w:r>
    </w:p>
    <w:p>
      <w:pPr>
        <w:pStyle w:val="ListParagraph"/>
        <w:numPr>
          <w:ilvl w:val="0"/>
          <w:numId w:val="2"/>
        </w:numPr>
        <w:spacing w:after="60"/>
      </w:pPr>
      <w:r>
        <w:rPr>
          <w:rFonts w:ascii="Arial" w:cs="Arial" w:eastAsia="Arial" w:hAnsi="Arial"/>
          <w:b/>
          <w:bCs/>
          <w:sz w:val="22"/>
          <w:szCs w:val="22"/>
        </w:rPr>
        <w:t xml:space="preserve">n8n</w:t>
      </w:r>
      <w:r>
        <w:rPr>
          <w:rFonts w:ascii="Arial" w:cs="Arial" w:eastAsia="Arial" w:hAnsi="Arial"/>
          <w:sz w:val="22"/>
          <w:szCs w:val="22"/>
        </w:rPr>
        <w:t xml:space="preserve"> — Automatisierungsplattform für wiederkehrende Abläufe</w:t>
      </w:r>
    </w:p>
    <w:p>
      <w:pPr>
        <w:pStyle w:val="ListParagraph"/>
        <w:numPr>
          <w:ilvl w:val="0"/>
          <w:numId w:val="2"/>
        </w:numPr>
        <w:spacing w:after="60"/>
      </w:pPr>
      <w:r>
        <w:rPr>
          <w:rFonts w:ascii="Arial" w:cs="Arial" w:eastAsia="Arial" w:hAnsi="Arial"/>
          <w:b/>
          <w:bCs/>
          <w:sz w:val="22"/>
          <w:szCs w:val="22"/>
        </w:rPr>
        <w:t xml:space="preserve">Caddy</w:t>
      </w:r>
      <w:r>
        <w:rPr>
          <w:rFonts w:ascii="Arial" w:cs="Arial" w:eastAsia="Arial" w:hAnsi="Arial"/>
          <w:sz w:val="22"/>
          <w:szCs w:val="22"/>
        </w:rPr>
        <w:t xml:space="preserve"> — Reverse Proxy: leitet eingehende Anfragen an den richtigen Dienst weiter und verwaltet automatisch SSL-Zertifikate (siehe Glossar)</w:t>
      </w:r>
    </w:p>
    <w:p>
      <w:pPr>
        <w:pStyle w:val="ListParagraph"/>
        <w:numPr>
          <w:ilvl w:val="0"/>
          <w:numId w:val="2"/>
        </w:numPr>
        <w:spacing w:after="60"/>
      </w:pPr>
      <w:r>
        <w:rPr>
          <w:rFonts w:ascii="Arial" w:cs="Arial" w:eastAsia="Arial" w:hAnsi="Arial"/>
          <w:b/>
          <w:bCs/>
          <w:sz w:val="22"/>
          <w:szCs w:val="22"/>
        </w:rPr>
        <w:t xml:space="preserve">BorgBackup</w:t>
      </w:r>
      <w:r>
        <w:rPr>
          <w:rFonts w:ascii="Arial" w:cs="Arial" w:eastAsia="Arial" w:hAnsi="Arial"/>
          <w:sz w:val="22"/>
          <w:szCs w:val="22"/>
        </w:rPr>
        <w:t xml:space="preserve"> — verschlüsselte, automatische Datensicherung</w:t>
      </w:r>
    </w:p>
    <w:p>
      <w:pPr>
        <w:spacing w:after="120" w:before="0"/>
      </w:pPr>
      <w:r>
        <w:rPr>
          <w:rFonts w:ascii="Arial" w:cs="Arial" w:eastAsia="Arial" w:hAnsi="Arial"/>
          <w:b/>
          <w:bCs/>
          <w:sz w:val="22"/>
          <w:szCs w:val="22"/>
        </w:rPr>
        <w:t xml:space="preserve">Empfohlene Konfiguration: </w:t>
      </w:r>
      <w:r>
        <w:rPr>
          <w:rFonts w:ascii="Arial" w:cs="Arial" w:eastAsia="Arial" w:hAnsi="Arial"/>
          <w:sz w:val="22"/>
          <w:szCs w:val="22"/>
        </w:rPr>
        <w:t xml:space="preserve">Hetzner CPX41 (8 Prozessorkerne, 16 GB Arbeitsspeicher, 240 GB Festplatte) oder CPX51 (32 GB) je nach ERPNext-Last. Standort: Deutschland. Kosten: ca. 16–30 €/Monat.</w:t>
      </w:r>
    </w:p>
    <w:p>
      <w:pPr>
        <w:pStyle w:val="Heading2"/>
        <w:spacing w:after="120" w:before="0"/>
      </w:pPr>
      <w:r>
        <w:rPr>
          <w:rFonts w:ascii="Arial" w:cs="Arial" w:eastAsia="Arial" w:hAnsi="Arial"/>
          <w:b w:val="false"/>
          <w:bCs w:val="false"/>
          <w:sz w:val="22"/>
          <w:szCs w:val="22"/>
        </w:rPr>
        <w:t xml:space="preserve">2.4 E-Mail &amp; Zusammenarbeit — Google Workspace</w:t>
      </w:r>
    </w:p>
    <w:p>
      <w:pPr>
        <w:spacing w:after="120" w:before="0"/>
      </w:pPr>
      <w:r>
        <w:rPr>
          <w:rFonts w:ascii="Arial" w:cs="Arial" w:eastAsia="Arial" w:hAnsi="Arial"/>
          <w:sz w:val="22"/>
          <w:szCs w:val="22"/>
        </w:rPr>
        <w:t xml:space="preserve">Google Workspace ersetzt den Exchange Server 2019. Es stellt E-Mail (Gmail), Cloud-Speicher (Google Drive), Kalender und Videomeetings (Google Meet) bereit. Da nicht alle Mitarbeiter dieselben Anforderungen haben, werden zwei Lizenzstufen eingesetzt: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2263"/>
        <w:gridCol w:w="200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Plan</w:t>
            </w:r>
          </w:p>
        </w:tc>
        <w:tc>
          <w:tcPr>
            <w:tcW w:type="dxa" w:w="226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Speicher/Nutzer</w:t>
            </w:r>
          </w:p>
        </w:tc>
        <w:tc>
          <w:tcPr>
            <w:tcW w:type="dxa" w:w="226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Kosten/Nutzer/Monat</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Zielgruppe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Business Starter</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30 GB</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ca. 7 €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Büro-Grundfunktionen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Business Standard</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2 TB (Pool)</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ca. 14 €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Projektarbeit, größerer Speicher</w:t>
            </w:r>
          </w:p>
        </w:tc>
      </w:tr>
    </w:tbl>
    <w:p>
      <w:pPr>
        <w:spacing w:after="120" w:before="0"/>
      </w:pPr>
      <w:r>
        <w:rPr>
          <w:rFonts w:ascii="Arial" w:cs="Arial" w:eastAsia="Arial" w:hAnsi="Arial"/>
          <w:b/>
          <w:bCs/>
          <w:sz w:val="22"/>
          <w:szCs w:val="22"/>
        </w:rPr>
        <w:t xml:space="preserve">Nutzerumfang: </w:t>
      </w:r>
      <w:r>
        <w:rPr>
          <w:rFonts w:ascii="Arial" w:cs="Arial" w:eastAsia="Arial" w:hAnsi="Arial"/>
          <w:sz w:val="22"/>
          <w:szCs w:val="22"/>
        </w:rPr>
        <w:t xml:space="preserve">Ca. 20 Mitarbeiter erhalten Google Workspace. Die genaue Aufteilung zwischen Starter und Standard wird in der Pilotphase festgelegt. Bei einer beispielhaften Mischung von 12 Starter- und 8 Standard-Lizenzen ergeben sich ca. 196 €/Monat.</w:t>
      </w:r>
    </w:p>
    <w:p>
      <w:pPr>
        <w:spacing w:after="120" w:before="0"/>
      </w:pPr>
      <w:r>
        <w:t>Pilotphase: 2 Lizenzen (sebastian.hirsch@pacos-gmbh.de als Super-Admin und erster Testnutzer, sowie eine zweite Pilot-Adresse, die auf einen internen KI-/Bot-Dienst verweist, z. B. ki@pacos-gmbh.de oder bot@pacos-gmbh.de). Zunächst werden nur Drive, Kalender und Meet getestet. Gmail wird erst nach der MX-Umstellung aktiviert. Die KI-/Bot-Adresse dient als Testkanal für automatisierte Workflows und interne KI-Anbindung.</w:t>
      </w:r>
    </w:p>
    <w:p>
      <w:pPr>
        <w:spacing w:after="120" w:before="0"/>
      </w:pPr>
      <w:r>
        <w:rPr>
          <w:rFonts w:ascii="Arial" w:cs="Arial" w:eastAsia="Arial" w:hAnsi="Arial"/>
          <w:b/>
          <w:bCs/>
          <w:sz w:val="22"/>
          <w:szCs w:val="22"/>
        </w:rPr>
        <w:t xml:space="preserve">E-Mail-Migration: </w:t>
      </w:r>
      <w:r>
        <w:rPr>
          <w:rFonts w:ascii="Arial" w:cs="Arial" w:eastAsia="Arial" w:hAnsi="Arial"/>
          <w:sz w:val="22"/>
          <w:szCs w:val="22"/>
        </w:rPr>
        <w:t xml:space="preserve">Da der Exchange Server nicht von außen erreichbar ist, erfolgt die Migration per PST-Export (Sicherungsdatei aus Exchange) und Import in Gmail. Dies erfordert Unterstützung durch Trust Halle.</w:t>
      </w:r>
    </w:p>
    <w:p>
      <w:pPr>
        <w:pStyle w:val="Heading2"/>
        <w:spacing w:after="120" w:before="0"/>
      </w:pPr>
      <w:r>
        <w:rPr>
          <w:rFonts w:ascii="Arial" w:cs="Arial" w:eastAsia="Arial" w:hAnsi="Arial"/>
          <w:b w:val="false"/>
          <w:bCs w:val="false"/>
          <w:sz w:val="22"/>
          <w:szCs w:val="22"/>
        </w:rPr>
        <w:t xml:space="preserve">2.5 DNS &amp; Domain — INWX</w:t>
      </w:r>
    </w:p>
    <w:p>
      <w:pPr>
        <w:spacing w:after="120" w:before="0"/>
      </w:pPr>
      <w:r>
        <w:rPr>
          <w:rFonts w:ascii="Arial" w:cs="Arial" w:eastAsia="Arial" w:hAnsi="Arial"/>
          <w:sz w:val="22"/>
          <w:szCs w:val="22"/>
        </w:rPr>
        <w:t xml:space="preserve">Die Domain pacos-gmbh.de wird von Strato zu INWX (Darmstadt, Deutschland) transferiert. INWX ist ein deutscher Registrar mit DNSSEC-Unterstützung (zusätzliche Absicherung der Domain-Auflösung, siehe Glossar), API-Zugang und transparenter Preisstruktur (~5 €/Jahr). Alternativ käme Cloudflare in Frage (US-basiert, kostenloser DNS mit DDoS-Schutz), wobei ein deutscher Anbieter aus DSGVO-Sicht vorzuziehen ist.</w:t>
      </w:r>
    </w:p>
    <w:p>
      <w:pPr>
        <w:pStyle w:val="Heading2"/>
        <w:spacing w:after="120" w:before="0"/>
      </w:pPr>
      <w:r>
        <w:rPr>
          <w:rFonts w:ascii="Arial" w:cs="Arial" w:eastAsia="Arial" w:hAnsi="Arial"/>
          <w:b w:val="false"/>
          <w:bCs w:val="false"/>
          <w:sz w:val="22"/>
          <w:szCs w:val="22"/>
        </w:rPr>
        <w:t xml:space="preserve">2.6 Datensicherung</w:t>
      </w:r>
    </w:p>
    <w:p>
      <w:pPr>
        <w:spacing w:after="120" w:before="0"/>
      </w:pPr>
      <w:r>
        <w:rPr>
          <w:rFonts w:ascii="Arial" w:cs="Arial" w:eastAsia="Arial" w:hAnsi="Arial"/>
          <w:sz w:val="22"/>
          <w:szCs w:val="22"/>
        </w:rPr>
        <w:t xml:space="preserve">BorgBackup auf dem Hetzner VPS sichert täglich automatisch auf eine Hetzner Storage Box (separater Standort in Deutschland). Die Sicherungen sind AES-256-verschlüsselt (höchster Verschlüsselungsstandard) und dedupliziert (nur Änderungen werden gespeichert, was Speicherplatz spart). Aufbewahrung: 7 Tage täglich, 4 Wochen wöchentlich, 12 Monate monatlich.</w:t>
      </w:r>
    </w:p>
    <w:p>
      <w:pPr>
        <w:spacing w:after="120" w:before="0"/>
      </w:pPr>
      <w:r>
        <w:rPr>
          <w:rFonts w:ascii="Arial" w:cs="Arial" w:eastAsia="Arial" w:hAnsi="Arial"/>
          <w:b/>
          <w:bCs/>
          <w:sz w:val="22"/>
          <w:szCs w:val="22"/>
        </w:rPr>
        <w:t xml:space="preserve">Geplante Kapazität: </w:t>
      </w:r>
      <w:r>
        <w:rPr>
          <w:rFonts w:ascii="Arial" w:cs="Arial" w:eastAsia="Arial" w:hAnsi="Arial"/>
          <w:sz w:val="22"/>
          <w:szCs w:val="22"/>
        </w:rPr>
        <w:t xml:space="preserve">5 TB Hetzner Storage Box (ca. 12 €/Monat). Dies deckt die Sicherung von ERPNext-Datenbank, n8n-Workflows, Konfigurationsdateien und ggf. zusätzliche Datei-Backups ab.</w:t>
      </w:r>
    </w:p>
    <w:p>
      <w:pPr>
        <w:pStyle w:val="Heading1"/>
        <w:pageBreakBefore/>
        <w:spacing w:after="120" w:before="0"/>
      </w:pPr>
      <w:r>
        <w:rPr>
          <w:rFonts w:ascii="Arial" w:cs="Arial" w:eastAsia="Arial" w:hAnsi="Arial"/>
          <w:b w:val="false"/>
          <w:bCs w:val="false"/>
          <w:sz w:val="22"/>
          <w:szCs w:val="22"/>
        </w:rPr>
        <w:t xml:space="preserve">3. Sicherheitskonzept</w:t>
      </w:r>
    </w:p>
    <w:p>
      <w:r>
        <w:t xml:space="preserve">Amazon-Account für PaCos anlegen</w:t>
      </w:r>
    </w:p>
    <w:p>
      <w:r>
        <w:t xml:space="preserve">Lexware: eRechnungen prüfen, Signatur-Bild einrichten, Berechtigungen an Mitarbeiter verteilen</w:t>
      </w:r>
    </w:p>
    <w:p>
      <w:r>
        <w:t xml:space="preserve">AI-Zugang für Mitarbeiter einrichten — Tool-Auswahl, Lizenzierung und Nutzungsrichtlinie klären (siehe offene Entscheidung #5)</w:t>
      </w:r>
    </w:p>
    <w:p>
      <w:pPr>
        <w:pStyle w:val="Heading2"/>
      </w:pPr>
      <w:r>
        <w:t xml:space="preserve">9.4 Software und Zugänge</w:t>
      </w:r>
    </w:p>
    <w:p>
      <w:pPr>
        <w:pStyle w:val="ListParagraph"/>
      </w:pPr>
      <w:r>
        <w:t xml:space="preserve">Drucker einrichten mit E-Mail-Versandfunktion (rechnung@alecur.de) — auch für Home-Office</w:t>
      </w:r>
    </w:p>
    <w:p>
      <w:pPr>
        <w:pStyle w:val="ListParagraph"/>
      </w:pPr>
      <w:r>
        <w:t xml:space="preserve">Esther &amp; Thomas: Netzlaufwerk auf Rechner Weinsheim einrichten und Daten speichern</w:t>
      </w:r>
    </w:p>
    <w:p>
      <w:pPr>
        <w:pStyle w:val="ListParagraph"/>
      </w:pPr>
      <w:r>
        <w:t xml:space="preserve">PC in Mercedes-Produktion aufbauen und in Netzwerk einbinden</w:t>
      </w:r>
    </w:p>
    <w:p>
      <w:r>
        <w:t xml:space="preserve">Folgende lokale IT-Aufgaben stehen im Zusammenhang mit der Infrastruktur-Modernisierung:</w:t>
      </w:r>
    </w:p>
    <w:p>
      <w:pPr>
        <w:pStyle w:val="Heading2"/>
      </w:pPr>
      <w:r>
        <w:t xml:space="preserve">9.3 Lokale IT-Infrastruktur und Hardware</w:t>
      </w:r>
    </w:p>
    <w:p>
      <w:pPr>
        <w:pStyle w:val="ListParagraph"/>
      </w:pPr>
      <w:r>
        <w:t xml:space="preserve">Aktuelle Hardware- und Software-Übersicht von Pierre anfordern (Zugänge ausstehend)</w:t>
      </w:r>
    </w:p>
    <w:p>
      <w:pPr>
        <w:pStyle w:val="ListParagraph"/>
      </w:pPr>
      <w:r>
        <w:t xml:space="preserve">Server-Angebot für Exchange-Nachfolge von Stefan Kock einholen</w:t>
      </w:r>
    </w:p>
    <w:p>
      <w:pPr>
        <w:pStyle w:val="ListParagraph"/>
      </w:pPr>
      <w:r>
        <w:t xml:space="preserve">Abstimmung mit Trust Halle zur Exchange-Ablösung und PST-Migration</w:t>
      </w:r>
    </w:p>
    <w:p>
      <w:pPr>
        <w:pStyle w:val="ListParagraph"/>
      </w:pPr>
      <w:r>
        <w:t xml:space="preserve">Google Workspace-Registrierung und HTML-Verifizierung über Plesk (Phase 0)</w:t>
      </w:r>
    </w:p>
    <w:p>
      <w:r>
        <w:t xml:space="preserve">Die Anbindung von Google Workspace ist als Prio-1-Aufgabe eingestuft. Über die in Abschnitt 2.4 beschriebene Pilotphase hinaus sind folgende Schritte zeitnah zu planen:</w:t>
      </w:r>
    </w:p>
    <w:p>
      <w:pPr>
        <w:pStyle w:val="Heading2"/>
      </w:pPr>
      <w:r>
        <w:t xml:space="preserve">9.2 Google Workspace — Anbindung</w:t>
      </w:r>
    </w:p>
    <w:p>
      <w:r>
        <w:t xml:space="preserve">Mobilfunk/Handyverträge: Budget pro Mitarbeiter, Gerätepräferenzen, Mobile Daten, Hüllen. Vergleichsangebote einholen (1&amp;1 Allnet, Telekom). Nur nach Förderzusage umsetzen (Rücksprache mit TH).</w:t>
      </w:r>
    </w:p>
    <w:p>
      <w:pPr>
        <w:pStyle w:val="ListParagraph"/>
      </w:pPr>
      <w:r>
        <w:t xml:space="preserve">100er Block beachten — Verträge sind gekoppelt</w:t>
      </w:r>
    </w:p>
    <w:p>
      <w:pPr>
        <w:pStyle w:val="ListParagraph"/>
      </w:pPr>
      <w:r>
        <w:t xml:space="preserve">Kontakt easybell (bisheriger Cloud-Anbieter für Telefon) klären</w:t>
      </w:r>
    </w:p>
    <w:p>
      <w:pPr>
        <w:pStyle w:val="ListParagraph"/>
      </w:pPr>
      <w:r>
        <w:t xml:space="preserve">Bestehende Festnetzkosten mit TH klären und Ablösung planen</w:t>
      </w:r>
    </w:p>
    <w:p>
      <w:pPr>
        <w:pStyle w:val="ListParagraph"/>
      </w:pPr>
      <w:r>
        <w:t xml:space="preserve">Vertragsunterlagen 3plus GmbH auf vertrauliche Informationen prüfen</w:t>
      </w:r>
    </w:p>
    <w:p>
      <w:pPr>
        <w:pStyle w:val="ListParagraph"/>
      </w:pPr>
      <w:r>
        <w:t xml:space="preserve">Zugangsdaten Telekom-Kundenkonto ggf. an 3plus weiterleiten, Router mit bestehender TK einrichten</w:t>
      </w:r>
    </w:p>
    <w:p>
      <w:pPr>
        <w:pStyle w:val="ListParagraph"/>
      </w:pPr>
      <w:r>
        <w:t xml:space="preserve">Telekom-Techniker richtet Flexanschluss ein, gleichzeitig 3plus-Mitarbeiter vor Ort für Austausch und Einrichtung der TK-Anlage</w:t>
      </w:r>
    </w:p>
    <w:p>
      <w:pPr>
        <w:pStyle w:val="ListParagraph"/>
      </w:pPr>
      <w:r>
        <w:t xml:space="preserve">Vitali — Telekom Business Glasfaser Pro 500 (kleineren Tarif prüfen)</w:t>
      </w:r>
    </w:p>
    <w:p>
      <w:pPr>
        <w:pStyle w:val="ListParagraph"/>
      </w:pPr>
      <w:r>
        <w:t xml:space="preserve">Herr Schieborowski (3plus GmbH) — Telekommunikationsanlage, SIP-Daten für Vertragswechsel</w:t>
      </w:r>
    </w:p>
    <w:p>
      <w:pPr>
        <w:pStyle w:val="ListParagraph"/>
      </w:pPr>
      <w:r>
        <w:t xml:space="preserve">Frau Kowol — Internetvertrag Enviatel</w:t>
      </w:r>
    </w:p>
    <w:p>
      <w:r>
        <w:t xml:space="preserve">Ansprechpartner und offene Punkte:</w:t>
      </w:r>
    </w:p>
    <w:p>
      <w:r>
        <w:t xml:space="preserve">Der bestehende Internetvertrag mit Enviatel soll durch einen Telekom Business Glasfaser-Anschluss (Business Glasfaser Pro 500 oder kleinerer Tarif) ersetzt werden. Wichtig: Die Enviatel-Kündigung darf erst erfolgen, nachdem der Telekom-Anschluss betriebsbereit ist.</w:t>
      </w:r>
    </w:p>
    <w:p>
      <w:pPr>
        <w:pStyle w:val="Heading2"/>
      </w:pPr>
      <w:r>
        <w:t xml:space="preserve">9.1 Internet und Telekommunikation</w:t>
      </w:r>
    </w:p>
    <w:p>
      <w:r>
        <w:t xml:space="preserve">Die folgenden Punkte aus der internen To-Do-Liste betreffen die IT-Infrastruktur und sollten im Rahmen der Modernisierung berücksichtigt werden.</w:t>
      </w:r>
    </w:p>
    <w:p>
      <w:pPr>
        <w:pStyle w:val="Heading1"/>
      </w:pPr>
      <w:r>
        <w:t xml:space="preserve">9. Weitere Handlungsfelder (aus To-Do-Liste)</w:t>
      </w:r>
    </w:p>
    <w:p>
      <w:pPr>
        <w:spacing w:after="120" w:before="0"/>
      </w:pPr>
      <w:r>
        <w:rPr>
          <w:rFonts w:ascii="Arial" w:cs="Arial" w:eastAsia="Arial" w:hAnsi="Arial"/>
          <w:b w:val="false"/>
          <w:bCs w:val="false"/>
          <w:sz w:val="22"/>
          <w:szCs w:val="22"/>
        </w:rPr>
        <w:t xml:space="preserve">Alle selbstverwalteten Komponenten (Hetzner VPS) werden mit folgenden Maßnahmen gehärtet. Fachbegriffe sind im Glossar (Anhang A) erläutert.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Maßnahme</w:t>
            </w:r>
          </w:p>
        </w:tc>
        <w:tc>
          <w:tcPr>
            <w:tcW w:type="dxa" w:w="6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Firewall (UFW)</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Nur die Ports 80 (Website), 443 (verschlüsselte Website) und ein nicht-standardmäßiger SSH-Port sind geöffnet. Alle anderen Zugänge sind blockiert.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SSH-Härtung</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Fernzugriff auf den Server ausschließlich per kryptografischem Schlüssel (kein Passwort). Der Administrator-Zugang (Root) ist deaktiviert.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Brute-Force-Schutz</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fail2ban überwacht Zugangsversuche und sperrt automatisch IP-Adressen nach wiederholten Fehlversuchen.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VPN-Zugang</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Administrative Oberflächen (ERPNext-Backend, n8n) sind nur über eine verschlüsselte VPN-Verbindung (WireGuard) erreichbar — nicht öffentlich im Internet.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Container-Isolation</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Jeder Dienst läuft in einem eigenen, abgeschotteten Bereich (Docker-Container). Ein Problem in einem Dienst betrifft nicht die anderen.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SSL/TLS</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Automatische Verschlüsselungszertifikate (Let’s Encrypt) über Caddy. Die Verbindung ist immer verschlüsselt (HTTPS).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Updates</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Automatische Sicherheitsupdates des Betriebssystems (unattended-upgrades). Anwendungs-Updates werden geplant durchgeführt.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Google Workspace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Zwei-Faktor-Authentifizierung (2FA) für alle Nutzer verpflichtend. Sicherheits-Audit-Protokoll in der Admin-Konsole.</w:t>
            </w:r>
          </w:p>
        </w:tc>
      </w:tr>
    </w:tbl>
    <w:p>
      <w:pPr>
        <w:pStyle w:val="Heading1"/>
        <w:pageBreakBefore/>
        <w:spacing w:after="120" w:before="0"/>
      </w:pPr>
      <w:r>
        <w:rPr>
          <w:rFonts w:ascii="Arial" w:cs="Arial" w:eastAsia="Arial" w:hAnsi="Arial"/>
          <w:b w:val="false"/>
          <w:bCs w:val="false"/>
          <w:sz w:val="22"/>
          <w:szCs w:val="22"/>
        </w:rPr>
        <w:t xml:space="preserve">4. Rolle von Trust Halle (externer IT-Dienstleister)</w:t>
      </w:r>
    </w:p>
    <w:p>
      <w:pPr>
        <w:spacing w:after="120" w:before="0"/>
      </w:pPr>
      <w:r>
        <w:rPr>
          <w:rFonts w:ascii="Arial" w:cs="Arial" w:eastAsia="Arial" w:hAnsi="Arial"/>
          <w:sz w:val="22"/>
          <w:szCs w:val="22"/>
        </w:rPr>
        <w:t xml:space="preserve">Trust Halle bleibt als externer IT-Partner erhalten. Die Zusammenarbeit wird an die neue Infrastruktur angepasst. Da die PaCos GmbH derzeit keine ausgereifte interne IT-Expertise hat, ist eine übereilte Ablösung des externen Dienstleisters ausdrücklich nicht geplant. Die absolute Priorität liegt darauf, dass alle operativen Tätigkeiten reibungslos weiterlaufen.</w:t>
      </w:r>
    </w:p>
    <w:p>
      <w:pPr>
        <w:pStyle w:val="Heading2"/>
        <w:spacing w:after="120" w:before="0"/>
      </w:pPr>
      <w:r>
        <w:rPr>
          <w:rFonts w:ascii="Arial" w:cs="Arial" w:eastAsia="Arial" w:hAnsi="Arial"/>
          <w:b w:val="false"/>
          <w:bCs w:val="false"/>
          <w:sz w:val="22"/>
          <w:szCs w:val="22"/>
        </w:rPr>
        <w:t xml:space="preserve">4.1 Aufgaben während der Migration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26"/>
        <w:gridCol w:w="2800"/>
        <w:gridCol w:w="1100"/>
        <w:gridCol w:w="1100"/>
      </w:tblGrid>
      <w:tr>
        <w:tc>
          <w:tcPr>
            <w:tcW w:type="dxa" w:w="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Anforderung</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Zweck</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Priorität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1</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Strato-Kunden-Login (login.strato.de) bereitstellen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DNS-Verwaltung, Domain-Transfer</w:t>
            </w:r>
          </w:p>
        </w:tc>
        <w:tc>
          <w:tcPr>
            <w:tcW w:type="dxa" w:w="11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C0392B"/>
                <w:sz w:val="20"/>
                <w:szCs w:val="20"/>
              </w:rPr>
              <w:t xml:space="preserve">Sofort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2</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Vollständige DNS-Record-Liste für pacos-gmbh.de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Dokumentation vor Transfer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D4830A"/>
                <w:sz w:val="20"/>
                <w:szCs w:val="20"/>
              </w:rPr>
              <w:t xml:space="preserve">Offen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D4830A"/>
                <w:sz w:val="20"/>
                <w:szCs w:val="20"/>
              </w:rPr>
              <w:t xml:space="preserve">Hoch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3</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Auth-Code für Domain-Transfer bereitstellen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Domain-Transfer zu INWX</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D4830A"/>
                <w:sz w:val="20"/>
                <w:szCs w:val="20"/>
              </w:rPr>
              <w:t xml:space="preserve">Offen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D4830A"/>
                <w:sz w:val="20"/>
                <w:szCs w:val="20"/>
              </w:rPr>
              <w:t xml:space="preserve">Hoch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4</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Transfer-Sperre (Domain-Lock) deaktivieren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Voraussetzung für Transfer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D4830A"/>
                <w:sz w:val="20"/>
                <w:szCs w:val="20"/>
              </w:rPr>
              <w:t xml:space="preserve">Offen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D4830A"/>
                <w:sz w:val="20"/>
                <w:szCs w:val="20"/>
              </w:rPr>
              <w:t xml:space="preserve">Hoch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5</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FTP-Passwort (pacosftp) bestätigen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Webroot-Zugang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D4830A"/>
                <w:sz w:val="20"/>
                <w:szCs w:val="20"/>
              </w:rPr>
              <w:t xml:space="preserve">Offen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Mittel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6</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Bestätigen: Keine weiteren Dienste auf Strato aktiv</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Keine unbekannten Abhängigkeiten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D4830A"/>
                <w:sz w:val="20"/>
                <w:szCs w:val="20"/>
              </w:rPr>
              <w:t xml:space="preserve">Offen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Mittel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7</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Exchange-Konfiguration dokumentieren (Adressen, Verteiler, Aliase, Weiterleitungen)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Vorbereitung E-Mail-Migration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D4830A"/>
                <w:sz w:val="20"/>
                <w:szCs w:val="20"/>
              </w:rPr>
              <w:t xml:space="preserve">Offen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D4830A"/>
                <w:sz w:val="20"/>
                <w:szCs w:val="20"/>
              </w:rPr>
              <w:t xml:space="preserve">Hoch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8</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PST-Export aller relevanten Postfächer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E-Mail-Migration zu Gmail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D4830A"/>
                <w:sz w:val="20"/>
                <w:szCs w:val="20"/>
              </w:rPr>
              <w:t xml:space="preserve">Offen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D4830A"/>
                <w:sz w:val="20"/>
                <w:szCs w:val="20"/>
              </w:rPr>
              <w:t xml:space="preserve">Hoch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9</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Datenbank pacos_xt — Relevanzprüfung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Alte Shop-Daten klären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D4830A"/>
                <w:sz w:val="20"/>
                <w:szCs w:val="20"/>
              </w:rPr>
              <w:t xml:space="preserve">Offen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Niedrig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10</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Strato-Vertragslaufzeit und Kündigungsfrist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Kündigungsplanung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D4830A"/>
                <w:sz w:val="20"/>
                <w:szCs w:val="20"/>
              </w:rPr>
              <w:t xml:space="preserve">Offen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Niedrig</w:t>
            </w:r>
          </w:p>
        </w:tc>
      </w:tr>
      <w:tr>
        <w:tc>
          <w:tcPr>
            <w:tcW w:type="dxa" w:w="500"/>
          </w:tcPr>
          <w:p>
            <w:r>
              <w:t>11</w:t>
            </w:r>
          </w:p>
        </w:tc>
        <w:tc>
          <w:tcPr>
            <w:tcW w:type="dxa" w:w="3526"/>
          </w:tcPr>
          <w:p>
            <w:r>
              <w:t>Server-Angebot für Exchange-Nachfolge einholen (Stefan Kock)</w:t>
            </w:r>
          </w:p>
        </w:tc>
        <w:tc>
          <w:tcPr>
            <w:tcW w:type="dxa" w:w="2800"/>
          </w:tcPr>
          <w:p>
            <w:r>
              <w:t>Angebote und Beratung für neuen Server / Exchange-Ablösung</w:t>
            </w:r>
          </w:p>
        </w:tc>
        <w:tc>
          <w:tcPr>
            <w:tcW w:type="dxa" w:w="1100"/>
          </w:tcPr>
          <w:p>
            <w:r>
              <w:t>Offen</w:t>
            </w:r>
          </w:p>
        </w:tc>
        <w:tc>
          <w:tcPr>
            <w:tcW w:type="dxa" w:w="1100"/>
          </w:tcPr>
          <w:p>
            <w:r>
              <w:t>Hoch</w:t>
            </w:r>
          </w:p>
        </w:tc>
      </w:tr>
      <w:tr>
        <w:tc>
          <w:tcPr>
            <w:tcW w:type="dxa" w:w="500"/>
          </w:tcPr>
          <w:p>
            <w:r>
              <w:t>12</w:t>
            </w:r>
          </w:p>
        </w:tc>
        <w:tc>
          <w:tcPr>
            <w:tcW w:type="dxa" w:w="3526"/>
          </w:tcPr>
          <w:p>
            <w:r>
              <w:t>Aktuelle Hardware- und Software-Übersicht bereitstellen (Pierre)</w:t>
            </w:r>
          </w:p>
        </w:tc>
        <w:tc>
          <w:tcPr>
            <w:tcW w:type="dxa" w:w="2800"/>
          </w:tcPr>
          <w:p>
            <w:r>
              <w:t>Vollständige Dokumentation aller vorhandenen IT-Komponenten, Zugänge und Lizenzen</w:t>
            </w:r>
          </w:p>
        </w:tc>
        <w:tc>
          <w:tcPr>
            <w:tcW w:type="dxa" w:w="1100"/>
          </w:tcPr>
          <w:p>
            <w:r>
              <w:t>Offen</w:t>
            </w:r>
          </w:p>
        </w:tc>
        <w:tc>
          <w:tcPr>
            <w:tcW w:type="dxa" w:w="1100"/>
          </w:tcPr>
          <w:p>
            <w:r>
              <w:t>Hoch</w:t>
            </w:r>
          </w:p>
        </w:tc>
      </w:tr>
    </w:tbl>
    <w:p>
      <w:pPr>
        <w:pStyle w:val="Heading2"/>
        <w:spacing w:after="120" w:before="0"/>
      </w:pPr>
      <w:r>
        <w:rPr>
          <w:rFonts w:ascii="Arial" w:cs="Arial" w:eastAsia="Arial" w:hAnsi="Arial"/>
          <w:b w:val="false"/>
          <w:bCs w:val="false"/>
          <w:sz w:val="22"/>
          <w:szCs w:val="22"/>
        </w:rPr>
        <w:t xml:space="preserve">4.2 Laufende Zusammenarbeit nach Migration</w:t>
      </w:r>
    </w:p>
    <w:p>
      <w:pPr>
        <w:spacing w:after="120" w:before="0"/>
      </w:pPr>
      <w:r>
        <w:rPr>
          <w:rFonts w:ascii="Arial" w:cs="Arial" w:eastAsia="Arial" w:hAnsi="Arial"/>
          <w:b w:val="false"/>
          <w:bCs w:val="false"/>
          <w:sz w:val="22"/>
          <w:szCs w:val="22"/>
        </w:rPr>
        <w:t xml:space="preserve">Nach Abschluss der Migration wird die Zusammenarbeit mit Trust Halle auf die neue Infrastruktur angepasst. Folgende Bereiche sind vorgesehen:</w:t>
      </w:r>
    </w:p>
    <w:p>
      <w:pPr>
        <w:pStyle w:val="ListParagraph"/>
        <w:numPr>
          <w:ilvl w:val="0"/>
          <w:numId w:val="2"/>
        </w:numPr>
        <w:spacing w:after="60"/>
      </w:pPr>
      <w:r>
        <w:rPr>
          <w:rFonts w:ascii="Arial" w:cs="Arial" w:eastAsia="Arial" w:hAnsi="Arial"/>
          <w:b/>
          <w:bCs/>
          <w:sz w:val="22"/>
          <w:szCs w:val="22"/>
        </w:rPr>
        <w:t xml:space="preserve">Server-Monitoring und -Wartung: </w:t>
      </w:r>
      <w:r>
        <w:rPr>
          <w:rFonts w:ascii="Arial" w:cs="Arial" w:eastAsia="Arial" w:hAnsi="Arial"/>
          <w:sz w:val="22"/>
          <w:szCs w:val="22"/>
        </w:rPr>
        <w:t xml:space="preserve">Regelmäßige Prüfung des Hetzner VPS (Updates, Sicherheitspatches, Ressourcenauslastung)</w:t>
      </w:r>
    </w:p>
    <w:p>
      <w:pPr>
        <w:pStyle w:val="ListParagraph"/>
        <w:numPr>
          <w:ilvl w:val="0"/>
          <w:numId w:val="2"/>
        </w:numPr>
        <w:spacing w:after="60"/>
      </w:pPr>
      <w:r>
        <w:rPr>
          <w:rFonts w:ascii="Arial" w:cs="Arial" w:eastAsia="Arial" w:hAnsi="Arial"/>
          <w:b/>
          <w:bCs/>
          <w:sz w:val="22"/>
          <w:szCs w:val="22"/>
        </w:rPr>
        <w:t xml:space="preserve">2nd-Level-Support: </w:t>
      </w:r>
      <w:r>
        <w:rPr>
          <w:rFonts w:ascii="Arial" w:cs="Arial" w:eastAsia="Arial" w:hAnsi="Arial"/>
          <w:sz w:val="22"/>
          <w:szCs w:val="22"/>
        </w:rPr>
        <w:t xml:space="preserve">Eskalationspunkt für IT-Probleme, die intern nicht gelöst werden können</w:t>
      </w:r>
    </w:p>
    <w:p>
      <w:pPr>
        <w:pStyle w:val="ListParagraph"/>
        <w:numPr>
          <w:ilvl w:val="0"/>
          <w:numId w:val="2"/>
        </w:numPr>
        <w:spacing w:after="60"/>
      </w:pPr>
      <w:r>
        <w:rPr>
          <w:rFonts w:ascii="Arial" w:cs="Arial" w:eastAsia="Arial" w:hAnsi="Arial"/>
          <w:b/>
          <w:bCs/>
          <w:sz w:val="22"/>
          <w:szCs w:val="22"/>
        </w:rPr>
        <w:t xml:space="preserve">Beratung: </w:t>
      </w:r>
      <w:r>
        <w:rPr>
          <w:rFonts w:ascii="Arial" w:cs="Arial" w:eastAsia="Arial" w:hAnsi="Arial"/>
          <w:sz w:val="22"/>
          <w:szCs w:val="22"/>
        </w:rPr>
        <w:t xml:space="preserve">Unterstützung bei Architekturentscheidungen und Erweiterungen</w:t>
      </w:r>
    </w:p>
    <w:p>
      <w:pPr>
        <w:pStyle w:val="ListParagraph"/>
        <w:numPr>
          <w:ilvl w:val="0"/>
          <w:numId w:val="2"/>
        </w:numPr>
        <w:spacing w:after="60"/>
      </w:pPr>
      <w:r>
        <w:rPr>
          <w:rFonts w:ascii="Arial" w:cs="Arial" w:eastAsia="Arial" w:hAnsi="Arial"/>
          <w:b/>
          <w:bCs/>
          <w:sz w:val="22"/>
          <w:szCs w:val="22"/>
        </w:rPr>
        <w:t xml:space="preserve">Google Workspace Administration: </w:t>
      </w:r>
      <w:r>
        <w:rPr>
          <w:rFonts w:ascii="Arial" w:cs="Arial" w:eastAsia="Arial" w:hAnsi="Arial"/>
          <w:sz w:val="22"/>
          <w:szCs w:val="22"/>
        </w:rPr>
        <w:t xml:space="preserve">Unterstützung bei Nutzer-Verwaltung und Sicherheitskonfiguration</w:t>
      </w:r>
    </w:p>
    <w:p>
      <w:pPr>
        <w:spacing w:after="120" w:before="0"/>
      </w:pPr>
      <w:r>
        <w:rPr>
          <w:rFonts w:ascii="Arial" w:cs="Arial" w:eastAsia="Arial" w:hAnsi="Arial"/>
          <w:b/>
          <w:bCs/>
          <w:sz w:val="22"/>
          <w:szCs w:val="22"/>
        </w:rPr>
        <w:t xml:space="preserve">Empfehlung: </w:t>
      </w:r>
      <w:r>
        <w:rPr>
          <w:rFonts w:ascii="Arial" w:cs="Arial" w:eastAsia="Arial" w:hAnsi="Arial"/>
          <w:sz w:val="22"/>
          <w:szCs w:val="22"/>
        </w:rPr>
        <w:t xml:space="preserve">Die konkrete Ausgestaltung des laufenden Support-Vertrags sollte nach Abschluss der Migration mit Trust Halle besprochen werden. Der Umfang hängt davon ab, welche Kompetenzen intern aufgebaut werden.</w:t>
      </w:r>
    </w:p>
    <w:p>
      <w:pPr>
        <w:pStyle w:val="Heading1"/>
        <w:pageBreakBefore/>
        <w:spacing w:after="120" w:before="0"/>
      </w:pPr>
      <w:r>
        <w:rPr>
          <w:rFonts w:ascii="Arial" w:cs="Arial" w:eastAsia="Arial" w:hAnsi="Arial"/>
          <w:b w:val="false"/>
          <w:bCs w:val="false"/>
          <w:sz w:val="22"/>
          <w:szCs w:val="22"/>
        </w:rPr>
        <w:t xml:space="preserve">5. Kostenübersicht</w:t>
      </w:r>
    </w:p>
    <w:p>
      <w:pPr>
        <w:pStyle w:val="Heading2"/>
        <w:spacing w:after="120" w:before="0"/>
      </w:pPr>
      <w:r>
        <w:rPr>
          <w:rFonts w:ascii="Arial" w:cs="Arial" w:eastAsia="Arial" w:hAnsi="Arial"/>
          <w:b w:val="false"/>
          <w:bCs w:val="false"/>
          <w:sz w:val="22"/>
          <w:szCs w:val="22"/>
        </w:rPr>
        <w:t xml:space="preserve">5.1 Laufende Kosten (monatlich)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Dienst</w:t>
            </w:r>
          </w:p>
        </w:tc>
        <w:tc>
          <w:tcPr>
            <w:tcW w:type="dxa" w:w="201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Anbieter</w:t>
            </w:r>
          </w:p>
        </w:tc>
        <w:tc>
          <w:tcPr>
            <w:tcW w:type="dxa" w:w="201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Kosten/Monat</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Kosten/Jahr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Website-Hosting</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Vercel (Pro)</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20"/>
                <w:szCs w:val="20"/>
              </w:rPr>
              <w:t xml:space="preserve">ca. 20 €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20"/>
                <w:szCs w:val="20"/>
              </w:rPr>
              <w:t xml:space="preserve">ca. 240 €</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Backend-VPS (ERPNext, n8n)</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Hetzner CPX41</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20"/>
                <w:szCs w:val="20"/>
              </w:rPr>
              <w:t xml:space="preserve">ca. 16 €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20"/>
                <w:szCs w:val="20"/>
              </w:rPr>
              <w:t xml:space="preserve">ca. 192 €</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Google Workspace (~20 Nutzer, Mischkalkulation)</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Google</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20"/>
                <w:szCs w:val="20"/>
              </w:rPr>
              <w:t xml:space="preserve">ca. 196 €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20"/>
                <w:szCs w:val="20"/>
              </w:rPr>
              <w:t xml:space="preserve">ca. 2.352 €</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Domain</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INWX</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20"/>
                <w:szCs w:val="20"/>
              </w:rPr>
              <w:t xml:space="preserve">&lt; 1 €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20"/>
                <w:szCs w:val="20"/>
              </w:rPr>
              <w:t xml:space="preserve">ca. 5 €</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Backup Storage (5 TB)</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Hetzner Storage Box</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20"/>
                <w:szCs w:val="20"/>
              </w:rPr>
              <w:t xml:space="preserve">ca. 12 €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20"/>
                <w:szCs w:val="20"/>
              </w:rPr>
              <w:t xml:space="preserve">ca. 144 €</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Gesamt</w:t>
            </w:r>
          </w:p>
        </w:tc>
        <w:tc>
          <w:tcPr>
            <w:tcW w:type="dxa" w:w="2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
            </w:r>
          </w:p>
        </w:tc>
        <w:tc>
          <w:tcPr>
            <w:tcW w:type="dxa" w:w="2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right"/>
            </w:pPr>
            <w:r>
              <w:rPr>
                <w:rFonts w:ascii="Arial" w:cs="Arial" w:eastAsia="Arial" w:hAnsi="Arial"/>
                <w:b/>
                <w:bCs/>
                <w:i w:val="false"/>
                <w:iCs w:val="false"/>
                <w:color w:val="333333"/>
                <w:sz w:val="20"/>
                <w:szCs w:val="20"/>
              </w:rPr>
              <w:t xml:space="preserve">ca. 245 €</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right"/>
            </w:pPr>
            <w:r>
              <w:rPr>
                <w:rFonts w:ascii="Arial" w:cs="Arial" w:eastAsia="Arial" w:hAnsi="Arial"/>
                <w:b/>
                <w:bCs/>
                <w:i w:val="false"/>
                <w:iCs w:val="false"/>
                <w:color w:val="333333"/>
                <w:sz w:val="20"/>
                <w:szCs w:val="20"/>
              </w:rPr>
              <w:t xml:space="preserve">ca. 2.933 €</w:t>
            </w:r>
          </w:p>
        </w:tc>
      </w:tr>
    </w:tbl>
    <w:p>
      <w:pPr>
        <w:spacing w:after="120" w:before="0"/>
      </w:pPr>
      <w:r>
        <w:rPr>
          <w:rFonts w:ascii="Arial" w:cs="Arial" w:eastAsia="Arial" w:hAnsi="Arial"/>
          <w:b/>
          <w:bCs/>
          <w:sz w:val="22"/>
          <w:szCs w:val="22"/>
        </w:rPr>
        <w:t xml:space="preserve">Pilotphase: </w:t>
      </w:r>
      <w:r>
        <w:rPr>
          <w:rFonts w:ascii="Arial" w:cs="Arial" w:eastAsia="Arial" w:hAnsi="Arial"/>
          <w:sz w:val="22"/>
          <w:szCs w:val="22"/>
        </w:rPr>
        <w:t xml:space="preserve">Ca. 77 €/Monat (2 Google Workspace-Lizenzen + VPS + Backup). Die vollen Google Workspace-Kosten fallen erst beim Rollout an.</w:t>
      </w:r>
    </w:p>
    <w:p>
      <w:pPr>
        <w:spacing w:after="120" w:before="0"/>
      </w:pPr>
      <w:r>
        <w:rPr>
          <w:rFonts w:ascii="Arial" w:cs="Arial" w:eastAsia="Arial" w:hAnsi="Arial"/>
          <w:b/>
          <w:bCs/>
          <w:sz w:val="22"/>
          <w:szCs w:val="22"/>
        </w:rPr>
        <w:t xml:space="preserve">Hinweis: </w:t>
      </w:r>
      <w:r>
        <w:rPr>
          <w:rFonts w:ascii="Arial" w:cs="Arial" w:eastAsia="Arial" w:hAnsi="Arial"/>
          <w:sz w:val="22"/>
          <w:szCs w:val="22"/>
        </w:rPr>
        <w:t xml:space="preserve">Die Kosten für Trust Halle (laufender Support-Vertrag) sind hier nicht enthalten, da sie separat verhandelt werden. Die bisherigen Kosten für Exchange-Betrieb (Strom, Wartung), Strato-Hosting und ggf. Microsoft-Lizenzen entfallen im Gegenzug.</w:t>
      </w:r>
    </w:p>
    <w:p>
      <w:pPr>
        <w:pStyle w:val="Heading2"/>
        <w:spacing w:after="120" w:before="0"/>
      </w:pPr>
      <w:r>
        <w:rPr>
          <w:rFonts w:ascii="Arial" w:cs="Arial" w:eastAsia="Arial" w:hAnsi="Arial"/>
          <w:b w:val="false"/>
          <w:bCs w:val="false"/>
          <w:sz w:val="22"/>
          <w:szCs w:val="22"/>
        </w:rPr>
        <w:t xml:space="preserve">5.2 Einmalige Kosten / Aufwand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13"/>
        <w:gridCol w:w="3513"/>
      </w:tblGrid>
      <w:tr>
        <w:tc>
          <w:tcPr>
            <w:tcW w:type="dxa" w:w="551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Position</w:t>
            </w:r>
          </w:p>
        </w:tc>
        <w:tc>
          <w:tcPr>
            <w:tcW w:type="dxa" w:w="351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Geschätzter Aufwand</w:t>
            </w:r>
          </w:p>
        </w:tc>
      </w:tr>
      <w:tr>
        <w:tc>
          <w:tcPr>
            <w:tcW w:type="dxa" w:w="5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Domain-Transfer (Strato → INWX)</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ca. 5 € + interner Zeitaufwand</w:t>
            </w:r>
          </w:p>
        </w:tc>
      </w:tr>
      <w:tr>
        <w:tc>
          <w:tcPr>
            <w:tcW w:type="dxa" w:w="5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VPS-Ersteinrichtung (Security, Docker, Caddy)</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ca. 4–8 Stunden intern + Trust Halle</w:t>
            </w:r>
          </w:p>
        </w:tc>
      </w:tr>
      <w:tr>
        <w:tc>
          <w:tcPr>
            <w:tcW w:type="dxa" w:w="5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ERPNext-Installation und Grundkonfiguration</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Separates Projekt (läuft bereits)</w:t>
            </w:r>
          </w:p>
        </w:tc>
      </w:tr>
      <w:tr>
        <w:tc>
          <w:tcPr>
            <w:tcW w:type="dxa" w:w="5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E-Mail-Migration (PST-Export/-Import, 20 Nutzer)</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ca. 1–2 Arbeitstage (Trust Halle + intern)</w:t>
            </w:r>
          </w:p>
        </w:tc>
      </w:tr>
      <w:tr>
        <w:tc>
          <w:tcPr>
            <w:tcW w:type="dxa" w:w="5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Mitarbeiterschulung Google Workspace</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ca. 1 Tag intern</w:t>
            </w:r>
          </w:p>
        </w:tc>
      </w:tr>
    </w:tbl>
    <w:p>
      <w:pPr>
        <w:pStyle w:val="Heading1"/>
        <w:pageBreakBefore/>
        <w:spacing w:after="120" w:before="0"/>
      </w:pPr>
      <w:r>
        <w:rPr>
          <w:rFonts w:ascii="Arial" w:cs="Arial" w:eastAsia="Arial" w:hAnsi="Arial"/>
          <w:b w:val="false"/>
          <w:bCs w:val="false"/>
          <w:sz w:val="22"/>
          <w:szCs w:val="22"/>
        </w:rPr>
        <w:t xml:space="preserve">6. Migrationsplan</w:t>
      </w:r>
    </w:p>
    <w:p>
      <w:pPr>
        <w:spacing w:after="120" w:before="0"/>
      </w:pPr>
      <w:r>
        <w:rPr>
          <w:rFonts w:ascii="Arial" w:cs="Arial" w:eastAsia="Arial" w:hAnsi="Arial"/>
          <w:b/>
          <w:bCs/>
          <w:sz w:val="22"/>
          <w:szCs w:val="22"/>
        </w:rPr>
        <w:t xml:space="preserve">Grundregel: </w:t>
      </w:r>
      <w:r>
        <w:rPr>
          <w:rFonts w:ascii="Arial" w:cs="Arial" w:eastAsia="Arial" w:hAnsi="Arial"/>
          <w:sz w:val="22"/>
          <w:szCs w:val="22"/>
        </w:rPr>
        <w:t xml:space="preserve">Die bestehende Infrastruktur (Strato, Exchange, Pfiff) bleibt vollständig in Betrieb, bis jede einzelne Komponente erfolgreich migriert und verifiziert ist. Es werden keine Altkomponenten abgeschaltet, bevor der Ersatz produktionsbereit ist. Alle Änderungen werden zunächst in einer Pilotphase getestet.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13"/>
        <w:gridCol w:w="3713"/>
        <w:gridCol w:w="2000"/>
      </w:tblGrid>
      <w:tr>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241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Maßnahme</w:t>
            </w:r>
          </w:p>
        </w:tc>
        <w:tc>
          <w:tcPr>
            <w:tcW w:type="dxa" w:w="371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Abhängigkeit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20"/>
                <w:szCs w:val="20"/>
              </w:rPr>
              <w:t xml:space="preserve">0</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Vorbereitung</w:t>
            </w:r>
          </w:p>
        </w:tc>
        <w:tc>
          <w:tcPr>
            <w:tcW w:type="dxa" w:w="37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Google Workspace registrieren (HTML-Verifizierung über Plesk). Hetzner VPS bestellen und Grundkonfiguration. Website auf Vercel deployen und testen. ERPNext-PoC auf VPS aufsetzen.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Keine — sofort startbar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20"/>
                <w:szCs w:val="20"/>
              </w:rPr>
              <w:t xml:space="preserve">1</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Strato-Zugang sichern</w:t>
            </w:r>
          </w:p>
        </w:tc>
        <w:tc>
          <w:tcPr>
            <w:tcW w:type="dxa" w:w="37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Strato-Kunden-Login von Trust Halle beschaffen. Alle DNS-Records vollständig dokumentieren.</w:t>
            </w:r>
          </w:p>
        </w:tc>
        <w:tc>
          <w:tcPr>
            <w:tcW w:type="dxa" w:w="20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Blocker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20"/>
                <w:szCs w:val="20"/>
              </w:rPr>
              <w:t xml:space="preserve">2</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Domain-Transfer</w:t>
            </w:r>
          </w:p>
        </w:tc>
        <w:tc>
          <w:tcPr>
            <w:tcW w:type="dxa" w:w="37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Auth-Code anfordern, Transfer-Sperre deaktivieren, Transfer zu INWX. MX-Records 1:1 übernehmen. Dauer: ca. 5–7 Tage.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Phase 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20"/>
                <w:szCs w:val="20"/>
              </w:rPr>
              <w:t xml:space="preserve">3</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Website Go-Live</w:t>
            </w:r>
          </w:p>
        </w:tc>
        <w:tc>
          <w:tcPr>
            <w:tcW w:type="dxa" w:w="37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DNS in INWX auf Vercel umstellen. Alte Strato-Website wird ersetzt. Verifizierung: HTTPS, alle Seiten, E-Mail-Zustellung.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Phase 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20"/>
                <w:szCs w:val="20"/>
              </w:rPr>
              <w:t xml:space="preserve">4</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E-Mail-Migration</w:t>
            </w:r>
          </w:p>
        </w:tc>
        <w:tc>
          <w:tcPr>
            <w:tcW w:type="dxa" w:w="37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Gmail aktivieren, MX-Records auf Google umstellen. SPF, DKIM, DMARC konfigurieren. PST-Migration zuerst für Pilotnutzer, dann Rollout.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Phase 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20"/>
                <w:szCs w:val="20"/>
              </w:rPr>
              <w:t xml:space="preserve">5</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Aufräumen</w:t>
            </w:r>
          </w:p>
        </w:tc>
        <w:tc>
          <w:tcPr>
            <w:tcW w:type="dxa" w:w="37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Exchange Server abschalten. Strato-Hosting kündigen. Pfiff erst nach ERPNext-Produktivbetrieb abschalten (separater Zeitplan).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Phase 3 + 4</w:t>
            </w:r>
          </w:p>
        </w:tc>
      </w:tr>
    </w:tbl>
    <w:p>
      <w:pPr>
        <w:spacing w:after="120" w:before="0"/>
      </w:pPr>
      <w:r>
        <w:rPr>
          <w:rFonts w:ascii="Arial" w:cs="Arial" w:eastAsia="Arial" w:hAnsi="Arial"/>
          <w:b/>
          <w:bCs/>
          <w:color w:val="C0392B"/>
          <w:sz w:val="22"/>
          <w:szCs w:val="22"/>
        </w:rPr>
        <w:t xml:space="preserve">Größtes Risiko: </w:t>
      </w:r>
      <w:r>
        <w:rPr>
          <w:rFonts w:ascii="Arial" w:cs="Arial" w:eastAsia="Arial" w:hAnsi="Arial"/>
          <w:sz w:val="22"/>
          <w:szCs w:val="22"/>
        </w:rPr>
        <w:t xml:space="preserve">Beim Domain-Transfer (Phase 2) dürfen die MX-Records (E-Mail-Zustellungseinträge) nicht verloren gehen, sonst funktioniert der gesamte E-Mail-Verkehr für alle Mitarbeiter nicht mehr. INWX importiert bestehende DNS-Records automatisch, aber eine manuelle Verifizierung vor und nach dem Transfer ist zwingend erforderlich. Dieser Schritt wird gemeinsam mit Trust Halle durchgeführt.</w:t>
      </w:r>
    </w:p>
    <w:p>
      <w:pPr>
        <w:pStyle w:val="Heading1"/>
        <w:pageBreakBefore/>
        <w:spacing w:after="120" w:before="0"/>
      </w:pPr>
      <w:r>
        <w:rPr>
          <w:rFonts w:ascii="Arial" w:cs="Arial" w:eastAsia="Arial" w:hAnsi="Arial"/>
          <w:b w:val="false"/>
          <w:bCs w:val="false"/>
          <w:sz w:val="22"/>
          <w:szCs w:val="22"/>
        </w:rPr>
        <w:t xml:space="preserve">7. Offene Entscheidungen</w:t>
      </w:r>
    </w:p>
    <w:p>
      <w:pPr>
        <w:spacing w:after="120" w:before="0"/>
      </w:pPr>
      <w:r>
        <w:rPr>
          <w:rFonts w:ascii="Arial" w:cs="Arial" w:eastAsia="Arial" w:hAnsi="Arial"/>
          <w:b w:val="false"/>
          <w:bCs w:val="false"/>
          <w:sz w:val="22"/>
          <w:szCs w:val="22"/>
        </w:rPr>
        <w:t xml:space="preserve">Folgende Punkte erfordern eine Entscheidung durch die Geschäftsführung: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13"/>
        <w:gridCol w:w="3013"/>
        <w:gridCol w:w="2000"/>
      </w:tblGrid>
      <w:tr>
        <w:tc>
          <w:tcPr>
            <w:tcW w:type="dxa" w:w="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51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Entscheidung</w:t>
            </w:r>
          </w:p>
        </w:tc>
        <w:tc>
          <w:tcPr>
            <w:tcW w:type="dxa" w:w="301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Optionen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Empfehlung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1</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Domain-Registrar</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INWX (DE, ~5 €/J.) vs. Cloudflare (US, kostenlos, DDoS-Schutz)</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1F4E79"/>
                <w:sz w:val="20"/>
                <w:szCs w:val="20"/>
              </w:rPr>
              <w:t xml:space="preserve">INWX</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2</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VPS-Größe</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CPX41 (16 GB, ~16 €/M) vs. CPX51 (32 GB, ~30 €/M)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1F4E79"/>
                <w:sz w:val="20"/>
                <w:szCs w:val="20"/>
              </w:rPr>
              <w:t xml:space="preserve">CPX41, später skalieren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3</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Google Workspace Rollout</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Alle gleichzeitig vs. abteilungsweise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1F4E79"/>
                <w:sz w:val="20"/>
                <w:szCs w:val="20"/>
              </w:rPr>
              <w:t xml:space="preserve">Gestaffelt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4</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Google Workspace Lizenzmix</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Aufteilung Starter/Standard-Lizenzen je nach Bedarf der Abteilungen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In Pilotphase klären</w:t>
            </w:r>
          </w:p>
        </w:tc>
      </w:tr>
      <w:tr>
        <w:tc>
          <w:tcPr>
            <w:tcW w:type="dxa" w:w="500"/>
          </w:tcPr>
          <w:p>
            <w:r>
              <w:t>5</w:t>
            </w:r>
          </w:p>
        </w:tc>
        <w:tc>
          <w:tcPr>
            <w:tcW w:type="dxa" w:w="3513"/>
          </w:tcPr>
          <w:p>
            <w:r>
              <w:t>AI-Zugang für Mitarbeiter</w:t>
            </w:r>
          </w:p>
        </w:tc>
        <w:tc>
          <w:tcPr>
            <w:tcW w:type="dxa" w:w="3013"/>
          </w:tcPr>
          <w:p>
            <w:r>
              <w:t>Welche KI-Tools (z.B. ChatGPT, Claude, Gemini)? Zentrale Lizenzen vs. individuelle Zugänge. Nutzungsrichtlinien und Datenschutz.</w:t>
            </w:r>
          </w:p>
        </w:tc>
        <w:tc>
          <w:tcPr>
            <w:tcW w:type="dxa" w:w="2000"/>
          </w:tcPr>
          <w:p>
            <w:r>
              <w:t>Zentrale Lizenz mit Nutzungsrichtlinie</w:t>
            </w:r>
          </w:p>
        </w:tc>
      </w:tr>
      <w:tr>
        <w:tc>
          <w:tcPr>
            <w:tcW w:type="dxa" w:w="500"/>
          </w:tcPr>
          <w:p>
            <w:r>
              <w:t>6</w:t>
            </w:r>
          </w:p>
        </w:tc>
        <w:tc>
          <w:tcPr>
            <w:tcW w:type="dxa" w:w="3513"/>
          </w:tcPr>
          <w:p>
            <w:r>
              <w:t>Internetvertrag: Wechsel Enviatel → Telekom Glasfaser</w:t>
            </w:r>
          </w:p>
        </w:tc>
        <w:tc>
          <w:tcPr>
            <w:tcW w:type="dxa" w:w="3013"/>
          </w:tcPr>
          <w:p>
            <w:r>
              <w:t>Glasfaser-Anschluss Telekom (Business Pro 500) vs. bisheriger Enviatel-Vertrag. Timing: Telekom muss erst Glasfaser legen, bevor Enviatel gekündigt wird.</w:t>
            </w:r>
          </w:p>
        </w:tc>
        <w:tc>
          <w:tcPr>
            <w:tcW w:type="dxa" w:w="2000"/>
          </w:tcPr>
          <w:p>
            <w:r>
              <w:t>Telekom Glasfaser, Enviatel erst nach Inbetriebnahme kündigen</w:t>
            </w:r>
          </w:p>
        </w:tc>
      </w:tr>
      <w:tr>
        <w:tc>
          <w:tcPr>
            <w:tcW w:type="dxa" w:w="500"/>
          </w:tcPr>
          <w:p>
            <w:r>
              <w:t>7</w:t>
            </w:r>
          </w:p>
        </w:tc>
        <w:tc>
          <w:tcPr>
            <w:tcW w:type="dxa" w:w="3513"/>
          </w:tcPr>
          <w:p>
            <w:r>
              <w:t>TK-Anlage: Vertragswechsel mit 3plus GmbH</w:t>
            </w:r>
          </w:p>
        </w:tc>
        <w:tc>
          <w:tcPr>
            <w:tcW w:type="dxa" w:w="3013"/>
          </w:tcPr>
          <w:p>
            <w:r>
              <w:t>Austausch und Einrichtung der TK-Anlage durch 3plus parallel zum Telekom-Anschluss. SIP-Daten und Vertragsunterlagen erforderlich (Hr. Schieborowski).</w:t>
            </w:r>
          </w:p>
        </w:tc>
        <w:tc>
          <w:tcPr>
            <w:tcW w:type="dxa" w:w="2000"/>
          </w:tcPr>
          <w:p>
            <w:r>
              <w:t>Koordinierter Wechsel mit Telekom-Techniker</w:t>
            </w:r>
          </w:p>
        </w:tc>
      </w:tr>
      <w:tr>
        <w:tc>
          <w:tcPr>
            <w:tcW w:type="dxa" w:w="500"/>
          </w:tcPr>
          <w:p>
            <w:r>
              <w:t>8</w:t>
            </w:r>
          </w:p>
        </w:tc>
        <w:tc>
          <w:tcPr>
            <w:tcW w:type="dxa" w:w="3513"/>
          </w:tcPr>
          <w:p>
            <w:r>
              <w:t>Mobilfunk- und Handyverträge für Mitarbeiter</w:t>
            </w:r>
          </w:p>
        </w:tc>
        <w:tc>
          <w:tcPr>
            <w:tcW w:type="dxa" w:w="3013"/>
          </w:tcPr>
          <w:p>
            <w:r>
              <w:t>Budget pro Mitarbeiter, Gerätepräferenzen, Tarife (1&amp;1 Allnet o.ä.), Festnetz ablösen. Nur mit Zusage Förderung (mit TH klären).</w:t>
            </w:r>
          </w:p>
        </w:tc>
        <w:tc>
          <w:tcPr>
            <w:tcW w:type="dxa" w:w="2000"/>
          </w:tcPr>
          <w:p>
            <w:r>
              <w:t>Nach Förderzusage entscheiden</w:t>
            </w:r>
          </w:p>
        </w:tc>
      </w:tr>
      <w:tr>
        <w:tc>
          <w:tcPr>
            <w:tcW w:type="dxa" w:w="500"/>
          </w:tcPr>
          <w:p>
            <w:r>
              <w:t>9</w:t>
            </w:r>
          </w:p>
        </w:tc>
        <w:tc>
          <w:tcPr>
            <w:tcW w:type="dxa" w:w="3513"/>
          </w:tcPr>
          <w:p>
            <w:r>
              <w:t>Lexware: eRechnungen und Berechtigungen</w:t>
            </w:r>
          </w:p>
        </w:tc>
        <w:tc>
          <w:tcPr>
            <w:tcW w:type="dxa" w:w="3013"/>
          </w:tcPr>
          <w:p>
            <w:r>
              <w:t>eRechnungen in Lexware prüfen, Signatur-Bild einrichten, Berechtigungen an Mitarbeiter verteilen.</w:t>
            </w:r>
          </w:p>
        </w:tc>
        <w:tc>
          <w:tcPr>
            <w:tcW w:type="dxa" w:w="2000"/>
          </w:tcPr>
          <w:p>
            <w:r>
              <w:t>Zeitnah umsetzen</w:t>
            </w:r>
          </w:p>
        </w:tc>
      </w:tr>
    </w:tbl>
    <w:p>
      <w:pPr>
        <w:pStyle w:val="Heading1"/>
        <w:pageBreakBefore/>
        <w:spacing w:after="120" w:before="0"/>
      </w:pPr>
      <w:r>
        <w:rPr>
          <w:rFonts w:ascii="Arial" w:cs="Arial" w:eastAsia="Arial" w:hAnsi="Arial"/>
          <w:b w:val="false"/>
          <w:bCs w:val="false"/>
          <w:sz w:val="22"/>
          <w:szCs w:val="22"/>
        </w:rPr>
        <w:t xml:space="preserve">8. Freigabe</w:t>
      </w:r>
    </w:p>
    <w:p>
      <w:pPr>
        <w:spacing w:after="120" w:before="0"/>
      </w:pPr>
      <w:r>
        <w:rPr>
          <w:rFonts w:ascii="Arial" w:cs="Arial" w:eastAsia="Arial" w:hAnsi="Arial"/>
          <w:b w:val="false"/>
          <w:bCs w:val="false"/>
          <w:sz w:val="22"/>
          <w:szCs w:val="22"/>
        </w:rPr>
        <w:t xml:space="preserve">Dieses Konzept wird zur Freigabe durch die Geschäftsführung der PaCos GmbH vorgelegt. Mit der Freigabe wird die Umsetzung der Vorbereitungsphase (Phase 0) autorisiert. Die Produktiv-Umstellung (Phasen 2–5) erfolgt erst nach erfolgreicher Pilotphase und gesonderter Rücksprache.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00"/>
      </w:tblGrid>
      <w:tr>
        <w:tc>
          <w:tcPr>
            <w:tcW w:type="dxa" w:w="301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301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Rolle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Unterschrift / Datum</w:t>
            </w:r>
          </w:p>
        </w:tc>
      </w:tr>
      <w:tr>
        <w:trPr>
          <w:trHeight w:val="800" w:hRule="atLeast"/>
        </w:trPr>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Thomas Hirsch</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Geschäftsführer/CEO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
            </w:r>
          </w:p>
        </w:tc>
      </w:tr>
      <w:tr>
        <w:trPr>
          <w:trHeight w:val="800" w:hRule="atLeast"/>
        </w:trPr>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Sebastian Hirsch</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Assistenz der Geschäftsführung / Projektverantwortlicher 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
            </w:r>
          </w:p>
        </w:tc>
      </w:tr>
    </w:tbl>
    <w:p>
      <w:pPr>
        <w:pStyle w:val="Heading1"/>
        <w:pageBreakBefore/>
        <w:spacing w:after="120" w:before="0"/>
      </w:pPr>
      <w:r>
        <w:rPr>
          <w:rFonts w:ascii="Arial" w:cs="Arial" w:eastAsia="Arial" w:hAnsi="Arial"/>
          <w:b w:val="false"/>
          <w:bCs w:val="false"/>
          <w:sz w:val="22"/>
          <w:szCs w:val="22"/>
        </w:rPr>
        <w:t xml:space="preserve">Anhang A: Glossar</w:t>
      </w:r>
    </w:p>
    <w:p>
      <w:pPr>
        <w:spacing w:after="120" w:before="0"/>
      </w:pPr>
      <w:r>
        <w:rPr>
          <w:rFonts w:ascii="Arial" w:cs="Arial" w:eastAsia="Arial" w:hAnsi="Arial"/>
          <w:b w:val="false"/>
          <w:bCs w:val="false"/>
          <w:sz w:val="22"/>
          <w:szCs w:val="22"/>
        </w:rPr>
        <w:t xml:space="preserve">Dieses Glossar erläutert die im Dokument verwendeten Fachbegriffe in allgemeinverständlicher Sprache.</w:t>
      </w:r>
    </w:p>
    <w:p>
      <w:pPr>
        <w:spacing w:before="160" w:after="40"/>
      </w:pPr>
      <w:r>
        <w:rPr>
          <w:rFonts w:ascii="Arial" w:cs="Arial" w:eastAsia="Arial" w:hAnsi="Arial"/>
          <w:b/>
          <w:bCs/>
          <w:sz w:val="22"/>
          <w:szCs w:val="22"/>
        </w:rPr>
        <w:t xml:space="preserve">Auth-Code (Transfer-Code)</w:t>
      </w:r>
    </w:p>
    <w:p>
      <w:pPr>
        <w:spacing w:after="120"/>
        <w:ind w:left="360"/>
      </w:pPr>
      <w:r>
        <w:rPr>
          <w:rFonts w:ascii="Arial" w:cs="Arial" w:eastAsia="Arial" w:hAnsi="Arial"/>
          <w:sz w:val="22"/>
          <w:szCs w:val="22"/>
        </w:rPr>
        <w:t xml:space="preserve">Ein einmaliger Sicherheitscode, der für den Transfer einer Domain von einem Anbieter zum anderen benötigt wird. Er stellt sicher, dass nur der berechtigte Inhaber den Transfer auslösen kann. Der aktuelle Anbieter (hier: Strato) stellt den Code auf Anfrage bereit.</w:t>
      </w:r>
    </w:p>
    <w:p>
      <w:pPr>
        <w:spacing w:before="160" w:after="40"/>
      </w:pPr>
      <w:r>
        <w:rPr>
          <w:rFonts w:ascii="Arial" w:cs="Arial" w:eastAsia="Arial" w:hAnsi="Arial"/>
          <w:b/>
          <w:bCs/>
          <w:sz w:val="22"/>
          <w:szCs w:val="22"/>
        </w:rPr>
        <w:t xml:space="preserve">BorgBackup</w:t>
      </w:r>
    </w:p>
    <w:p>
      <w:pPr>
        <w:spacing w:after="120"/>
        <w:ind w:left="360"/>
      </w:pPr>
      <w:r>
        <w:rPr>
          <w:rFonts w:ascii="Arial" w:cs="Arial" w:eastAsia="Arial" w:hAnsi="Arial"/>
          <w:sz w:val="22"/>
          <w:szCs w:val="22"/>
        </w:rPr>
        <w:t xml:space="preserve">Ein Open-Source-Programm für automatische Datensicherungen. BorgBackup erstellt verschlüsselte, deduplizierte Backups — das bedeutet, dass nur die tatsächlichen Änderungen seit der letzten Sicherung gespeichert werden, was Speicherplatz spart. Die Sicherungen werden auf einem separaten Server (Hetzner Storage Box) abgelegt, sodass sie auch bei einem Ausfall des Hauptservers verfügbar bleiben.</w:t>
      </w:r>
    </w:p>
    <w:p>
      <w:pPr>
        <w:spacing w:before="160" w:after="40"/>
      </w:pPr>
      <w:r>
        <w:rPr>
          <w:rFonts w:ascii="Arial" w:cs="Arial" w:eastAsia="Arial" w:hAnsi="Arial"/>
          <w:b/>
          <w:bCs/>
          <w:sz w:val="22"/>
          <w:szCs w:val="22"/>
        </w:rPr>
        <w:t xml:space="preserve">Caddy (Reverse Proxy)</w:t>
      </w:r>
    </w:p>
    <w:p>
      <w:pPr>
        <w:spacing w:after="120"/>
        <w:ind w:left="360"/>
      </w:pPr>
      <w:r>
        <w:rPr>
          <w:rFonts w:ascii="Arial" w:cs="Arial" w:eastAsia="Arial" w:hAnsi="Arial"/>
          <w:sz w:val="22"/>
          <w:szCs w:val="22"/>
        </w:rPr>
        <w:t xml:space="preserve">Ein Reverse Proxy ist ein Programm, das eingehende Internetanfragen entgegennimmt und an den richtigen Dienst weiterleitet. Wenn jemand erp.pacos-gmbh.de aufruft, leitet Caddy die Anfrage an ERPNext weiter; bei n8n.pacos-gmbh.de an n8n. Caddy übernimmt zusätzlich die automatische Verwaltung von SSL-Zertifikaten (Verschlüsselung), sodass alle Verbindungen immer über HTTPS (verschlüsselt) laufen. Im Vergleich zu Alternativen wie nginx benötigt Caddy deutlich weniger Konfiguration.</w:t>
      </w:r>
    </w:p>
    <w:p>
      <w:pPr>
        <w:spacing w:before="160" w:after="40"/>
      </w:pPr>
      <w:r>
        <w:rPr>
          <w:rFonts w:ascii="Arial" w:cs="Arial" w:eastAsia="Arial" w:hAnsi="Arial"/>
          <w:b/>
          <w:bCs/>
          <w:sz w:val="22"/>
          <w:szCs w:val="22"/>
        </w:rPr>
        <w:t xml:space="preserve">CDN (Content Delivery Network)</w:t>
      </w:r>
    </w:p>
    <w:p>
      <w:pPr>
        <w:spacing w:after="120"/>
        <w:ind w:left="360"/>
      </w:pPr>
      <w:r>
        <w:rPr>
          <w:rFonts w:ascii="Arial" w:cs="Arial" w:eastAsia="Arial" w:hAnsi="Arial"/>
          <w:sz w:val="22"/>
          <w:szCs w:val="22"/>
        </w:rPr>
        <w:t xml:space="preserve">Ein Netzwerk von Servern an verschiedenen Standorten weltweit, die Kopien einer Website vorhalten. Wenn ein Besucher die PaCos-Website aufruft, wird die Seite vom nächstgelegenen Server ausgeliefert (bei Vercel z.B. aus Frankfurt), statt jedes Mal vom Ursprungsserver abgerufen zu werden. Das macht die Website schneller und entlastet den Hauptserver.</w:t>
      </w:r>
    </w:p>
    <w:p>
      <w:pPr>
        <w:spacing w:before="160" w:after="40"/>
      </w:pPr>
      <w:r>
        <w:rPr>
          <w:rFonts w:ascii="Arial" w:cs="Arial" w:eastAsia="Arial" w:hAnsi="Arial"/>
          <w:b/>
          <w:bCs/>
          <w:sz w:val="22"/>
          <w:szCs w:val="22"/>
        </w:rPr>
        <w:t xml:space="preserve">DKIM (DomainKeys Identified Mail)</w:t>
      </w:r>
    </w:p>
    <w:p>
      <w:pPr>
        <w:spacing w:after="120"/>
        <w:ind w:left="360"/>
      </w:pPr>
      <w:r>
        <w:rPr>
          <w:rFonts w:ascii="Arial" w:cs="Arial" w:eastAsia="Arial" w:hAnsi="Arial"/>
          <w:sz w:val="22"/>
          <w:szCs w:val="22"/>
        </w:rPr>
        <w:t xml:space="preserve">Ein E-Mail-Sicherheitsverfahren, bei dem ausgehende E-Mails mit einer digitalen Signatur versehen werden. Der Empfänger kann anhand eines öffentlichen Schlüssels in den DNS-Einträgen der Absender-Domain prüfen, ob die E-Mail tatsächlich von diesem Absender stammt und unterwegs nicht verändert wurde. Zusammen mit SPF und DMARC bildet DKIM den modernen Standard für E-Mail-Sicherheit.</w:t>
      </w:r>
    </w:p>
    <w:p>
      <w:pPr>
        <w:spacing w:before="160" w:after="40"/>
      </w:pPr>
      <w:r>
        <w:rPr>
          <w:rFonts w:ascii="Arial" w:cs="Arial" w:eastAsia="Arial" w:hAnsi="Arial"/>
          <w:b/>
          <w:bCs/>
          <w:sz w:val="22"/>
          <w:szCs w:val="22"/>
        </w:rPr>
        <w:t xml:space="preserve">DMARC (Domain-based Message Authentication, Reporting and Conformance)</w:t>
      </w:r>
    </w:p>
    <w:p>
      <w:pPr>
        <w:spacing w:after="120"/>
        <w:ind w:left="360"/>
      </w:pPr>
      <w:r>
        <w:rPr>
          <w:rFonts w:ascii="Arial" w:cs="Arial" w:eastAsia="Arial" w:hAnsi="Arial"/>
          <w:sz w:val="22"/>
          <w:szCs w:val="22"/>
        </w:rPr>
        <w:t xml:space="preserve">Eine E-Mail-Richtlinie, die festlegt, was mit E-Mails passieren soll, die die SPF- oder DKIM-Prüfung nicht bestehen. Der Domain-Inhaber kann damit z.B. festlegen, dass solche E-Mails abgelehnt oder in den Spam-Ordner verschoben werden. DMARC liefert außerdem Berichte über Zustellversuche, sodass unautorisierte Nutzung der Domain erkannt werden kann.</w:t>
      </w:r>
    </w:p>
    <w:p>
      <w:pPr>
        <w:spacing w:before="160" w:after="40"/>
      </w:pPr>
      <w:r>
        <w:rPr>
          <w:rFonts w:ascii="Arial" w:cs="Arial" w:eastAsia="Arial" w:hAnsi="Arial"/>
          <w:b/>
          <w:bCs/>
          <w:sz w:val="22"/>
          <w:szCs w:val="22"/>
        </w:rPr>
        <w:t xml:space="preserve">DNS (Domain Name System)</w:t>
      </w:r>
    </w:p>
    <w:p>
      <w:pPr>
        <w:spacing w:after="120"/>
        <w:ind w:left="360"/>
      </w:pPr>
      <w:r>
        <w:rPr>
          <w:rFonts w:ascii="Arial" w:cs="Arial" w:eastAsia="Arial" w:hAnsi="Arial"/>
          <w:sz w:val="22"/>
          <w:szCs w:val="22"/>
        </w:rPr>
        <w:t xml:space="preserve">Das DNS ist das „Telefonbuch des Internets“. Es übersetzt für Menschen lesbare Adressen wie pacos-gmbh.de in technische IP-Adressen (z.B. 85.214.110.12), die Computer benötigen, um sich zu verbinden. DNS-Einträge bestimmen auch, welcher Server E-Mails für eine Domain empfängt (MX-Records), welche Server E-Mails senden dürfen (SPF/DKIM), und wohin die Website zeigt (A-Record). Die DNS-Verwaltung liegt derzeit bei Strato und soll zu INWX wechseln.</w:t>
      </w:r>
    </w:p>
    <w:p>
      <w:pPr>
        <w:spacing w:before="160" w:after="40"/>
      </w:pPr>
      <w:r>
        <w:rPr>
          <w:rFonts w:ascii="Arial" w:cs="Arial" w:eastAsia="Arial" w:hAnsi="Arial"/>
          <w:b/>
          <w:bCs/>
          <w:sz w:val="22"/>
          <w:szCs w:val="22"/>
        </w:rPr>
        <w:t xml:space="preserve">DNSSEC (DNS Security Extensions)</w:t>
      </w:r>
    </w:p>
    <w:p>
      <w:pPr>
        <w:spacing w:after="120"/>
        <w:ind w:left="360"/>
      </w:pPr>
      <w:r>
        <w:rPr>
          <w:rFonts w:ascii="Arial" w:cs="Arial" w:eastAsia="Arial" w:hAnsi="Arial"/>
          <w:sz w:val="22"/>
          <w:szCs w:val="22"/>
        </w:rPr>
        <w:t xml:space="preserve">Eine Sicherheitserweiterung für DNS. Ohne DNSSEC kann ein Angreifer theoretisch DNS-Antworten fälschen und Besucher auf eine gefälschte Website umleiten (DNS-Spoofing). DNSSEC schützt dagegen, indem es DNS-Antworten kryptografisch signiert. Der anfragende Computer kann dadurch prüfen, ob die Antwort authentisch ist. INWX unterstützt DNSSEC standardmäßig.</w:t>
      </w:r>
    </w:p>
    <w:p>
      <w:pPr>
        <w:spacing w:before="160" w:after="40"/>
      </w:pPr>
      <w:r>
        <w:rPr>
          <w:rFonts w:ascii="Arial" w:cs="Arial" w:eastAsia="Arial" w:hAnsi="Arial"/>
          <w:b/>
          <w:bCs/>
          <w:sz w:val="22"/>
          <w:szCs w:val="22"/>
        </w:rPr>
        <w:t xml:space="preserve">Docker / Docker Compose</w:t>
      </w:r>
    </w:p>
    <w:p>
      <w:pPr>
        <w:spacing w:after="120"/>
        <w:ind w:left="360"/>
      </w:pPr>
      <w:r>
        <w:rPr>
          <w:rFonts w:ascii="Arial" w:cs="Arial" w:eastAsia="Arial" w:hAnsi="Arial"/>
          <w:sz w:val="22"/>
          <w:szCs w:val="22"/>
        </w:rPr>
        <w:t xml:space="preserve">Docker ist eine Technologie, die Anwendungen in sogenannte Container verpackt. Ein Container enthält alles, was eine Anwendung zum Laufen braucht (Programm, Bibliotheken, Konfiguration), und ist vom Rest des Systems isoliert. Das bedeutet: Ein Problem in einem Container (z.B. ERPNext) betrifft nicht die anderen (z.B. n8n). Docker Compose ist ein Werkzeug, mit dem mehrere Container gemeinsam konfiguriert und gestartet werden — die gesamte Server-Konfiguration steht in einer einzigen Datei.</w:t>
      </w:r>
    </w:p>
    <w:p>
      <w:pPr>
        <w:spacing w:before="160" w:after="40"/>
      </w:pPr>
      <w:r>
        <w:rPr>
          <w:rFonts w:ascii="Arial" w:cs="Arial" w:eastAsia="Arial" w:hAnsi="Arial"/>
          <w:b/>
          <w:bCs/>
          <w:sz w:val="22"/>
          <w:szCs w:val="22"/>
        </w:rPr>
        <w:t xml:space="preserve">Domain-Lock (Transfer-Sperre)</w:t>
      </w:r>
    </w:p>
    <w:p>
      <w:pPr>
        <w:spacing w:after="120"/>
        <w:ind w:left="360"/>
      </w:pPr>
      <w:r>
        <w:rPr>
          <w:rFonts w:ascii="Arial" w:cs="Arial" w:eastAsia="Arial" w:hAnsi="Arial"/>
          <w:sz w:val="22"/>
          <w:szCs w:val="22"/>
        </w:rPr>
        <w:t xml:space="preserve">Eine Sicherheitseinstellung beim Domain-Registrar, die verhindert, dass eine Domain ohne ausdrückliche Genehmigung transferiert wird. Vor einem geplanten Domain-Transfer muss diese Sperre deaktiviert werden. Nach dem Transfer wird sie beim neuen Registrar wieder aktiviert.</w:t>
      </w:r>
    </w:p>
    <w:p>
      <w:pPr>
        <w:spacing w:before="160" w:after="40"/>
      </w:pPr>
      <w:r>
        <w:rPr>
          <w:rFonts w:ascii="Arial" w:cs="Arial" w:eastAsia="Arial" w:hAnsi="Arial"/>
          <w:b/>
          <w:bCs/>
          <w:sz w:val="22"/>
          <w:szCs w:val="22"/>
        </w:rPr>
        <w:t xml:space="preserve">DSGVO (Datenschutz-Grundverordnung) / DPA (Data Processing Agreement)</w:t>
      </w:r>
    </w:p>
    <w:p>
      <w:pPr>
        <w:spacing w:after="120"/>
        <w:ind w:left="360"/>
      </w:pPr>
      <w:r>
        <w:rPr>
          <w:rFonts w:ascii="Arial" w:cs="Arial" w:eastAsia="Arial" w:hAnsi="Arial"/>
          <w:sz w:val="22"/>
          <w:szCs w:val="22"/>
        </w:rPr>
        <w:t xml:space="preserve">Die DSGVO ist die europäische Datenschutzverordnung, die regelt, wie personenbezogene Daten verarbeitet werden dürfen. Wenn ein Unternehmen einen externen Dienstleister nutzt, der Zugriff auf personenbezogene Daten hat (z.B. einen E-Mail-Anbieter oder Hosting-Dienst), muss ein Auftragsverarbeitungsvertrag (DPA) geschlossen werden. Google, Vercel und Hetzner bieten solche Verträge standardmäßig an.</w:t>
      </w:r>
    </w:p>
    <w:p>
      <w:pPr>
        <w:spacing w:before="160" w:after="40"/>
      </w:pPr>
      <w:r>
        <w:rPr>
          <w:rFonts w:ascii="Arial" w:cs="Arial" w:eastAsia="Arial" w:hAnsi="Arial"/>
          <w:b/>
          <w:bCs/>
          <w:sz w:val="22"/>
          <w:szCs w:val="22"/>
        </w:rPr>
        <w:t xml:space="preserve">ERPNext</w:t>
      </w:r>
    </w:p>
    <w:p>
      <w:pPr>
        <w:spacing w:after="120"/>
        <w:ind w:left="360"/>
      </w:pPr>
      <w:r>
        <w:rPr>
          <w:rFonts w:ascii="Arial" w:cs="Arial" w:eastAsia="Arial" w:hAnsi="Arial"/>
          <w:sz w:val="22"/>
          <w:szCs w:val="22"/>
        </w:rPr>
        <w:t xml:space="preserve">Ein Open-Source-ERP-System (Enterprise Resource Planning), das als Nachfolger von Pfiff eingesetzt werden soll. ERPNext verwaltet Warenwirtschaft, Einkauf, Verkauf, Lagerhaltung, Produktion und Buchhaltung in einem integrierten System. Es läuft webbasiert und ist über den Browser erreichbar.</w:t>
      </w:r>
    </w:p>
    <w:p>
      <w:pPr>
        <w:spacing w:before="160" w:after="40"/>
      </w:pPr>
      <w:r>
        <w:rPr>
          <w:rFonts w:ascii="Arial" w:cs="Arial" w:eastAsia="Arial" w:hAnsi="Arial"/>
          <w:b/>
          <w:bCs/>
          <w:sz w:val="22"/>
          <w:szCs w:val="22"/>
        </w:rPr>
        <w:t xml:space="preserve">fail2ban</w:t>
      </w:r>
    </w:p>
    <w:p>
      <w:pPr>
        <w:spacing w:after="120"/>
        <w:ind w:left="360"/>
      </w:pPr>
      <w:r>
        <w:rPr>
          <w:rFonts w:ascii="Arial" w:cs="Arial" w:eastAsia="Arial" w:hAnsi="Arial"/>
          <w:sz w:val="22"/>
          <w:szCs w:val="22"/>
        </w:rPr>
        <w:t xml:space="preserve">Ein Sicherheitsprogramm, das Server-Zugangsversuche überwacht. Wenn von einer bestimmten IP-Adresse wiederholt fehlerhafte Anmeldeversuche kommen (z.B. automatisierte Passwort-Rate-Attacken), wird diese IP-Adresse automatisch gesperrt. Das schützt vor sogenannten Brute-Force-Angriffen.</w:t>
      </w:r>
    </w:p>
    <w:p>
      <w:pPr>
        <w:spacing w:before="160" w:after="40"/>
      </w:pPr>
      <w:r>
        <w:rPr>
          <w:rFonts w:ascii="Arial" w:cs="Arial" w:eastAsia="Arial" w:hAnsi="Arial"/>
          <w:b/>
          <w:bCs/>
          <w:sz w:val="22"/>
          <w:szCs w:val="22"/>
        </w:rPr>
        <w:t xml:space="preserve">Firewall (UFW)</w:t>
      </w:r>
    </w:p>
    <w:p>
      <w:pPr>
        <w:spacing w:after="120"/>
        <w:ind w:left="360"/>
      </w:pPr>
      <w:r>
        <w:rPr>
          <w:rFonts w:ascii="Arial" w:cs="Arial" w:eastAsia="Arial" w:hAnsi="Arial"/>
          <w:sz w:val="22"/>
          <w:szCs w:val="22"/>
        </w:rPr>
        <w:t xml:space="preserve">Eine Firewall kontrolliert, welcher Netzwerkverkehr den Server erreichen darf. UFW (Uncomplicated Firewall) ist ein benutzerfreundliches Firewall-Werkzeug für Linux-Server. Es wird so konfiguriert, dass nur die benötigten Zugänge (Webseiten auf Port 80/443, verschlüsselter Fernzugriff per SSH) erlaubt sind und alles andere blockiert wird.</w:t>
      </w:r>
    </w:p>
    <w:p>
      <w:pPr>
        <w:spacing w:before="160" w:after="40"/>
      </w:pPr>
      <w:r>
        <w:rPr>
          <w:rFonts w:ascii="Arial" w:cs="Arial" w:eastAsia="Arial" w:hAnsi="Arial"/>
          <w:b/>
          <w:bCs/>
          <w:sz w:val="22"/>
          <w:szCs w:val="22"/>
        </w:rPr>
        <w:t xml:space="preserve">HTTPS / SSL / TLS / Let’s Encrypt</w:t>
      </w:r>
    </w:p>
    <w:p>
      <w:pPr>
        <w:spacing w:after="120"/>
        <w:ind w:left="360"/>
      </w:pPr>
      <w:r>
        <w:rPr>
          <w:rFonts w:ascii="Arial" w:cs="Arial" w:eastAsia="Arial" w:hAnsi="Arial"/>
          <w:sz w:val="22"/>
          <w:szCs w:val="22"/>
        </w:rPr>
        <w:t xml:space="preserve">HTTPS ist die verschlüsselte Variante von HTTP (dem Protokoll, über das Webseiten aufgerufen werden). Die Verschlüsselung basiert auf SSL/TLS-Zertifikaten, die bestätigen, dass die Verbindung sicher ist und die Website authentisch. Ohne gültiges Zertifikat zeigt der Browser eine Sicherheitswarnung. Let’s Encrypt ist eine kostenlose Zertifizierungsstelle, die automatisch gültige Zertifikate ausstellt. Caddy nutzt Let’s Encrypt automatisch.</w:t>
      </w:r>
    </w:p>
    <w:p>
      <w:pPr>
        <w:spacing w:before="160" w:after="40"/>
      </w:pPr>
      <w:r>
        <w:rPr>
          <w:rFonts w:ascii="Arial" w:cs="Arial" w:eastAsia="Arial" w:hAnsi="Arial"/>
          <w:b/>
          <w:bCs/>
          <w:sz w:val="22"/>
          <w:szCs w:val="22"/>
        </w:rPr>
        <w:t xml:space="preserve">INWX</w:t>
      </w:r>
    </w:p>
    <w:p>
      <w:pPr>
        <w:spacing w:after="120"/>
        <w:ind w:left="360"/>
      </w:pPr>
      <w:r>
        <w:rPr>
          <w:rFonts w:ascii="Arial" w:cs="Arial" w:eastAsia="Arial" w:hAnsi="Arial"/>
          <w:sz w:val="22"/>
          <w:szCs w:val="22"/>
        </w:rPr>
        <w:t xml:space="preserve">Ein deutscher Domain-Registrar mit Sitz in Darmstadt. Ein Registrar ist der Dienstleister, bei dem eine Domain (wie pacos-gmbh.de) registriert und verwaltet wird. INWX bietet DNSSEC, API-Zugang für automatisierte Verwaltung und transparente Preise.</w:t>
      </w:r>
    </w:p>
    <w:p>
      <w:pPr>
        <w:spacing w:before="160" w:after="40"/>
      </w:pPr>
      <w:r>
        <w:rPr>
          <w:rFonts w:ascii="Arial" w:cs="Arial" w:eastAsia="Arial" w:hAnsi="Arial"/>
          <w:b/>
          <w:bCs/>
          <w:sz w:val="22"/>
          <w:szCs w:val="22"/>
        </w:rPr>
        <w:t xml:space="preserve">MX-Record (Mail Exchange Record)</w:t>
      </w:r>
    </w:p>
    <w:p>
      <w:pPr>
        <w:spacing w:after="120"/>
        <w:ind w:left="360"/>
      </w:pPr>
      <w:r>
        <w:rPr>
          <w:rFonts w:ascii="Arial" w:cs="Arial" w:eastAsia="Arial" w:hAnsi="Arial"/>
          <w:sz w:val="22"/>
          <w:szCs w:val="22"/>
        </w:rPr>
        <w:t xml:space="preserve">Ein DNS-Eintrag, der festlegt, welcher Server E-Mails für eine Domain empfängt. Wenn jemand eine E-Mail an name@pacos-gmbh.de sendet, fragt der sendende Server die MX-Records ab, um zu erfahren, wohin die E-Mail zugestellt werden soll. Aktuell zeigt der MX-Record auf den Exchange Server. Nach der Migration wird er auf Google Workspace umgestellt.</w:t>
      </w:r>
    </w:p>
    <w:p>
      <w:pPr>
        <w:spacing w:before="160" w:after="40"/>
      </w:pPr>
      <w:r>
        <w:rPr>
          <w:rFonts w:ascii="Arial" w:cs="Arial" w:eastAsia="Arial" w:hAnsi="Arial"/>
          <w:b/>
          <w:bCs/>
          <w:sz w:val="22"/>
          <w:szCs w:val="22"/>
        </w:rPr>
        <w:t xml:space="preserve">n8n</w:t>
      </w:r>
    </w:p>
    <w:p>
      <w:pPr>
        <w:spacing w:after="120"/>
        <w:ind w:left="360"/>
      </w:pPr>
      <w:r>
        <w:rPr>
          <w:rFonts w:ascii="Arial" w:cs="Arial" w:eastAsia="Arial" w:hAnsi="Arial"/>
          <w:sz w:val="22"/>
          <w:szCs w:val="22"/>
        </w:rPr>
        <w:t xml:space="preserve">Eine Open-Source-Plattform für Workflow-Automatisierung. Mit n8n können wiederkehrende Aufgaben automatisiert werden, z.B. „Wenn eine neue Bestellung in ERPNext eingeht, sende eine Benachrichtigung per E-Mail“ oder „Übertrage täglich Daten zwischen zwei Systemen“. Die Workflows werden visuell per Drag-and-Drop konfiguriert.</w:t>
      </w:r>
    </w:p>
    <w:p>
      <w:pPr>
        <w:spacing w:before="160" w:after="40"/>
      </w:pPr>
      <w:r>
        <w:rPr>
          <w:rFonts w:ascii="Arial" w:cs="Arial" w:eastAsia="Arial" w:hAnsi="Arial"/>
          <w:b/>
          <w:bCs/>
          <w:sz w:val="22"/>
          <w:szCs w:val="22"/>
        </w:rPr>
        <w:t xml:space="preserve">Next.js</w:t>
      </w:r>
    </w:p>
    <w:p>
      <w:pPr>
        <w:spacing w:after="120"/>
        <w:ind w:left="360"/>
      </w:pPr>
      <w:r>
        <w:rPr>
          <w:rFonts w:ascii="Arial" w:cs="Arial" w:eastAsia="Arial" w:hAnsi="Arial"/>
          <w:sz w:val="22"/>
          <w:szCs w:val="22"/>
        </w:rPr>
        <w:t xml:space="preserve">Ein modernes Framework (Werkzeugkasten) für die Erstellung von Websites und Webanwendungen. Next.js erzeugt schnelle, suchmaschinenoptimierte Webseiten. Die neue PaCos-Website basiert auf Next.js Version 15.</w:t>
      </w:r>
    </w:p>
    <w:p>
      <w:pPr>
        <w:spacing w:before="160" w:after="40"/>
      </w:pPr>
      <w:r>
        <w:rPr>
          <w:rFonts w:ascii="Arial" w:cs="Arial" w:eastAsia="Arial" w:hAnsi="Arial"/>
          <w:b/>
          <w:bCs/>
          <w:sz w:val="22"/>
          <w:szCs w:val="22"/>
        </w:rPr>
        <w:t xml:space="preserve">Plesk</w:t>
      </w:r>
    </w:p>
    <w:p>
      <w:pPr>
        <w:spacing w:after="120"/>
        <w:ind w:left="360"/>
      </w:pPr>
      <w:r>
        <w:rPr>
          <w:rFonts w:ascii="Arial" w:cs="Arial" w:eastAsia="Arial" w:hAnsi="Arial"/>
          <w:sz w:val="22"/>
          <w:szCs w:val="22"/>
        </w:rPr>
        <w:t xml:space="preserve">Eine webbasierte Verwaltungsoberfläche für Hosting-Server. Über Plesk können Dateien, Datenbanken, E-Mail-Konten, PHP-Einstellungen und SSL-Zertifikate verwaltet werden, ohne direkt auf den Server zugreifen zu müssen. PaCos hat derzeit Zugang zum Plesk-Panel des Strato-Servers.</w:t>
      </w:r>
    </w:p>
    <w:p>
      <w:pPr>
        <w:spacing w:before="160" w:after="40"/>
      </w:pPr>
      <w:r>
        <w:rPr>
          <w:rFonts w:ascii="Arial" w:cs="Arial" w:eastAsia="Arial" w:hAnsi="Arial"/>
          <w:b/>
          <w:bCs/>
          <w:sz w:val="22"/>
          <w:szCs w:val="22"/>
        </w:rPr>
        <w:t xml:space="preserve">PST-Datei</w:t>
      </w:r>
    </w:p>
    <w:p>
      <w:pPr>
        <w:spacing w:after="120"/>
        <w:ind w:left="360"/>
      </w:pPr>
      <w:r>
        <w:rPr>
          <w:rFonts w:ascii="Arial" w:cs="Arial" w:eastAsia="Arial" w:hAnsi="Arial"/>
          <w:sz w:val="22"/>
          <w:szCs w:val="22"/>
        </w:rPr>
        <w:t xml:space="preserve">Das Dateiformat, in dem Microsoft Outlook/Exchange E-Mails, Kalendereinträge und Kontakte speichert. Für die Migration zu Google Workspace werden die Postfächer aus Exchange als PST-Dateien exportiert und dann in Gmail importiert.</w:t>
      </w:r>
    </w:p>
    <w:p>
      <w:pPr>
        <w:spacing w:before="160" w:after="40"/>
      </w:pPr>
      <w:r>
        <w:rPr>
          <w:rFonts w:ascii="Arial" w:cs="Arial" w:eastAsia="Arial" w:hAnsi="Arial"/>
          <w:b/>
          <w:bCs/>
          <w:sz w:val="22"/>
          <w:szCs w:val="22"/>
        </w:rPr>
        <w:t xml:space="preserve">Reverse Proxy</w:t>
      </w:r>
    </w:p>
    <w:p>
      <w:pPr>
        <w:spacing w:after="120"/>
        <w:ind w:left="360"/>
      </w:pPr>
      <w:r>
        <w:rPr>
          <w:rFonts w:ascii="Arial" w:cs="Arial" w:eastAsia="Arial" w:hAnsi="Arial"/>
          <w:sz w:val="22"/>
          <w:szCs w:val="22"/>
        </w:rPr>
        <w:t xml:space="preserve">Siehe Caddy (Reverse Proxy).</w:t>
      </w:r>
    </w:p>
    <w:p>
      <w:pPr>
        <w:spacing w:before="160" w:after="40"/>
      </w:pPr>
      <w:r>
        <w:rPr>
          <w:rFonts w:ascii="Arial" w:cs="Arial" w:eastAsia="Arial" w:hAnsi="Arial"/>
          <w:b/>
          <w:bCs/>
          <w:sz w:val="22"/>
          <w:szCs w:val="22"/>
        </w:rPr>
        <w:t xml:space="preserve">SPF (Sender Policy Framework)</w:t>
      </w:r>
    </w:p>
    <w:p>
      <w:pPr>
        <w:spacing w:after="120"/>
        <w:ind w:left="360"/>
      </w:pPr>
      <w:r>
        <w:rPr>
          <w:rFonts w:ascii="Arial" w:cs="Arial" w:eastAsia="Arial" w:hAnsi="Arial"/>
          <w:sz w:val="22"/>
          <w:szCs w:val="22"/>
        </w:rPr>
        <w:t xml:space="preserve">Ein DNS-Eintrag, der festlegt, welche Server berechtigt sind, E-Mails im Namen einer Domain zu versenden. Wenn ein Empfänger-Server eine E-Mail von @pacos-gmbh.de erhält, prüft er den SPF-Record, ob der sendende Server dazu berechtigt ist. E-Mails von nicht autorisierten Servern werden als verdächtig eingestuft oder abgelehnt. Das schützt vor gefälschten E-Mails (Spoofing).</w:t>
      </w:r>
    </w:p>
    <w:p>
      <w:pPr>
        <w:spacing w:before="160" w:after="40"/>
      </w:pPr>
      <w:r>
        <w:rPr>
          <w:rFonts w:ascii="Arial" w:cs="Arial" w:eastAsia="Arial" w:hAnsi="Arial"/>
          <w:b/>
          <w:bCs/>
          <w:sz w:val="22"/>
          <w:szCs w:val="22"/>
        </w:rPr>
        <w:t xml:space="preserve">SSH (Secure Shell)</w:t>
      </w:r>
    </w:p>
    <w:p>
      <w:pPr>
        <w:spacing w:after="120"/>
        <w:ind w:left="360"/>
      </w:pPr>
      <w:r>
        <w:rPr>
          <w:rFonts w:ascii="Arial" w:cs="Arial" w:eastAsia="Arial" w:hAnsi="Arial"/>
          <w:sz w:val="22"/>
          <w:szCs w:val="22"/>
        </w:rPr>
        <w:t xml:space="preserve">Ein verschlüsseltes Protokoll für den Fernzugriff auf Server. Über SSH kann ein Administrator Befehle auf dem Server ausführen, ohne physisch vor Ort zu sein. Die Authentifizierung erfolgt per kryptografischem Schlüssel (sicherer als Passwörter).</w:t>
      </w:r>
    </w:p>
    <w:p>
      <w:pPr>
        <w:spacing w:before="160" w:after="40"/>
      </w:pPr>
      <w:r>
        <w:rPr>
          <w:rFonts w:ascii="Arial" w:cs="Arial" w:eastAsia="Arial" w:hAnsi="Arial"/>
          <w:b/>
          <w:bCs/>
          <w:sz w:val="22"/>
          <w:szCs w:val="22"/>
        </w:rPr>
        <w:t xml:space="preserve">Vercel</w:t>
      </w:r>
    </w:p>
    <w:p>
      <w:pPr>
        <w:spacing w:after="120"/>
        <w:ind w:left="360"/>
      </w:pPr>
      <w:r>
        <w:rPr>
          <w:rFonts w:ascii="Arial" w:cs="Arial" w:eastAsia="Arial" w:hAnsi="Arial"/>
          <w:sz w:val="22"/>
          <w:szCs w:val="22"/>
        </w:rPr>
        <w:t xml:space="preserve">Eine Cloud-Plattform für das Hosting von Webanwendungen, insbesondere Next.js-Websites. Vercel übernimmt automatisch den Build-Prozess, das Deployment (Veröffentlichung), SSL-Zertifikate und die weltweite Auslieferung über ein CDN. Der Entwickler muss lediglich Code in ein Git-Repository pushen, der Rest geschieht automatisch.</w:t>
      </w:r>
    </w:p>
    <w:p>
      <w:pPr>
        <w:spacing w:before="160" w:after="40"/>
      </w:pPr>
      <w:r>
        <w:rPr>
          <w:rFonts w:ascii="Arial" w:cs="Arial" w:eastAsia="Arial" w:hAnsi="Arial"/>
          <w:b/>
          <w:bCs/>
          <w:sz w:val="22"/>
          <w:szCs w:val="22"/>
        </w:rPr>
        <w:t xml:space="preserve">VPN (Virtual Private Network) / WireGuard</w:t>
      </w:r>
    </w:p>
    <w:p>
      <w:pPr>
        <w:spacing w:after="120"/>
        <w:ind w:left="360"/>
      </w:pPr>
      <w:r>
        <w:rPr>
          <w:rFonts w:ascii="Arial" w:cs="Arial" w:eastAsia="Arial" w:hAnsi="Arial"/>
          <w:sz w:val="22"/>
          <w:szCs w:val="22"/>
        </w:rPr>
        <w:t xml:space="preserve">Ein VPN erstellt eine verschlüsselte Verbindung („Tunnel“) zwischen dem eigenen Computer und einem entfernten Netzwerk. Damit können administrative Dienste auf dem Server (ERPNext-Backend, n8n) so konfiguriert werden, dass sie nur über diesen verschlüsselten Tunnel erreichbar sind — nicht direkt aus dem Internet. WireGuard ist ein modernes, besonders schnelles und einfach zu konfigurierendes VPN-Protokoll.</w:t>
      </w:r>
    </w:p>
    <w:p>
      <w:pPr>
        <w:spacing w:before="160" w:after="40"/>
      </w:pPr>
      <w:r>
        <w:rPr>
          <w:rFonts w:ascii="Arial" w:cs="Arial" w:eastAsia="Arial" w:hAnsi="Arial"/>
          <w:b/>
          <w:bCs/>
          <w:sz w:val="22"/>
          <w:szCs w:val="22"/>
        </w:rPr>
        <w:t xml:space="preserve">VPS (Virtual Private Server)</w:t>
      </w:r>
    </w:p>
    <w:p>
      <w:pPr>
        <w:spacing w:after="120"/>
        <w:ind w:left="360"/>
      </w:pPr>
      <w:r>
        <w:rPr>
          <w:rFonts w:ascii="Arial" w:cs="Arial" w:eastAsia="Arial" w:hAnsi="Arial"/>
          <w:sz w:val="22"/>
          <w:szCs w:val="22"/>
        </w:rPr>
        <w:t xml:space="preserve">Ein virtueller Server, der auf einem physischen Server in einem Rechenzentrum läuft. Der VPS verhält sich wie ein eigener, dedizierter Server mit eigenem Betriebssystem, aber teilt sich die physische Hardware mit anderen VPS. Hetzner betreibt Rechenzentren in Deutschland und bietet VPS zu wettbewerbsfähigen Preisen an (ab ca. 4 €/Monat).</w:t>
      </w:r>
    </w:p>
    <w:p>
      <w:pPr>
        <w:spacing w:before="160" w:after="40"/>
      </w:pPr>
      <w:r>
        <w:rPr>
          <w:rFonts w:ascii="Arial" w:cs="Arial" w:eastAsia="Arial" w:hAnsi="Arial"/>
          <w:b/>
          <w:bCs/>
          <w:sz w:val="22"/>
          <w:szCs w:val="22"/>
        </w:rPr>
        <w:t xml:space="preserve">2FA (Zwei-Faktor-Authentifizierung)</w:t>
      </w:r>
    </w:p>
    <w:p>
      <w:pPr>
        <w:spacing w:after="120"/>
        <w:ind w:left="360"/>
      </w:pPr>
      <w:r>
        <w:rPr>
          <w:rFonts w:ascii="Arial" w:cs="Arial" w:eastAsia="Arial" w:hAnsi="Arial"/>
          <w:sz w:val="22"/>
          <w:szCs w:val="22"/>
        </w:rPr>
        <w:t xml:space="preserve">Eine Sicherheitsmaßnahme, bei der für die Anmeldung neben dem Passwort ein zweiter Faktor erforderlich ist — typischerweise ein Code, der auf dem Smartphone generiert wird (z.B. über Google Authenticator). Selbst wenn ein Passwort gestohlen wird, kann sich der Angreifer ohne den zweiten Faktor nicht anmelden. Für Google Workspace wird 2FA für alle Nutzer verpflichtend konfiguriert.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Seite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6"/>
        <w:szCs w:val="16"/>
      </w:rPr>
      <w:t xml:space="preserve">PaCos GmbH — IT-Infrastrukturkonzept</w:t>
    </w:r>
    <w:r>
      <w:rPr>
        <w:rFonts w:ascii="Arial" w:cs="Arial" w:eastAsia="Arial" w:hAnsi="Arial"/>
        <w:color w:val="999999"/>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2026-03-16T10:06:26.933Z</dcterms:created>
  <dcterms:modified xsi:type="dcterms:W3CDTF">2026-03-16T10:06:26.934Z</dcterms:modified>
</cp:coreProperties>
</file>

<file path=docProps/custom.xml><?xml version="1.0" encoding="utf-8"?>
<Properties xmlns="http://schemas.openxmlformats.org/officeDocument/2006/custom-properties" xmlns:vt="http://schemas.openxmlformats.org/officeDocument/2006/docPropsVTypes"/>
</file>