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0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694"/>
        <w:gridCol w:w="4336"/>
      </w:tblGrid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29 september 2026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SWTID-2026-6139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Script-Controlled ACL – Restrict Record Access Based on Field Value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 Marks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Proposed Solution Template:</w:t>
      </w:r>
    </w:p>
    <w:p>
      <w:pPr>
        <w:pStyle w:val="Normal"/>
        <w:rPr/>
      </w:pPr>
      <w:r>
        <w:rPr/>
        <w:t>Project team shall fill the following information in the proposed solution template.</w:t>
      </w:r>
    </w:p>
    <w:tbl>
      <w:tblPr>
        <w:tblStyle w:val="a0"/>
        <w:tblW w:w="906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901"/>
        <w:gridCol w:w="3657"/>
        <w:gridCol w:w="4509"/>
      </w:tblGrid>
      <w:tr>
        <w:trPr>
          <w:trHeight w:val="55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78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LibreOffice/25.8.2.2$Windows_X86_64 LibreOffice_project/d401f2107ccab8f924a8e2df40f573aab7605b6f</Application>
  <AppVersion>15.0000</AppVersion>
  <Pages>1</Pages>
  <Words>78</Words>
  <Characters>465</Characters>
  <CharactersWithSpaces>518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en-US</dc:language>
  <cp:lastModifiedBy/>
  <dcterms:modified xsi:type="dcterms:W3CDTF">2026-09-30T21:25:21Z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