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</w:r>
    </w:p>
    <w:tbl>
      <w:tblPr>
        <w:tblStyle w:val="Table1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SWTID-2026-6139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Script-Controlled ACL – Restrict Record Access Based on Field Value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5"/>
        <w:gridCol w:w="3151"/>
        <w:gridCol w:w="5248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Registration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Registration through Form</w:t>
            </w:r>
          </w:p>
          <w:p>
            <w:pPr>
              <w:pStyle w:val="normal1"/>
              <w:rPr/>
            </w:pPr>
            <w:r>
              <w:rPr/>
              <w:t>Registration through Gmail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Registration through LinkedIN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Confirmation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Confirmation via Email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Confirmation via OTP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Non-functional Requirements:</w:t>
      </w:r>
    </w:p>
    <w:p>
      <w:pPr>
        <w:pStyle w:val="normal1"/>
        <w:rPr/>
      </w:pPr>
      <w:r>
        <w:rPr/>
        <w:t>Following are the non-functional requirements of the proposed solution.</w:t>
      </w:r>
    </w:p>
    <w:tbl>
      <w:tblPr>
        <w:tblStyle w:val="Table3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2</Pages>
  <Words>102</Words>
  <Characters>722</Characters>
  <CharactersWithSpaces>782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2026-09-30T21:13:15Z</dcterms:modified>
  <cp:revision>1</cp:revision>
  <dc:subject/>
  <dc:title/>
</cp:coreProperties>
</file>