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Mahindra &amp; Mahindra Financial Services Limited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Audited Standalone &amp; Consolidated Financial Results (Year Ended 31 March 2024)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STANDALONE RESULTS (₹ Crore)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Particulars                 | Q2 2024 (Unaudited) | Q1 2024 (Unaudited) | Q2 2023 (Unaudited) | FY 2024 (Audited) |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|-----------------------------|---------------------|---------------------|---------------------|-------------------|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Revenue from Operations     | 3,722.21            | 3,654.01            | 3,084.56            | 13,404.14         |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Total Income                | 3,760.15            | 3,706.10            | 3,125.41            | 13,552.42         |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Total Expenses              | 3,073.77            | 2,874.86            | 2,681.87            | 11,355.47         |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Profit Before Tax (PBT)     | 686.38              | 831.84              | 473.64              | 2,356.47          |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Profit After Tax (PAT)      | 500.30              | 647.53              | 305.31              | 1,673.61          |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EPS (₹) - Basic             | 4.16                | 5.01                | 2.86                | 14.26             |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EPS (₹) - Diluted           | 4.15                | 5.00                | 2.85                | 14.25             |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 RATIOS (Standalone)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Ratio                       | Q2 2024  | Q1 2024  | Q2 2023  | FY 2024  |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|-----------------------------|----------|----------|----------|----------|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Debt-Equity Ratio           | 5.10     | 5.08     | 4.52     | 5.08     |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Net Profit Margin (%)       | 13.64%   | 16.70%   | 11.28%   | 12.97%   |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Capital Adequacy Ratio (%)  | 18.50%   | 18.84%   | 21.16%   | 18.88%   |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Gross Stage-3 Assets (%)    | 3.59%    | 3.40%    | 4.35%    | 3.40%    |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CONSOLIDATED RESULTS (Audited FY 2024)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Total Income                | 15,970.32         |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Profit Before Tax (PBT)     | 2,588.18          |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Profit After Tax (PAT)      | 1,943.05          |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EPS (₹) - Basic             | 15.66             |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Net Profit Margin (%)       | 12.17%            |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Notes: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All figures are in ₹ Crore unless specified.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Standalone results exclude subsidiaries; consolidated results include subsidiaries and joint ventures.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Source: SEBI Lodgment Document (23 July 2024).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