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the extracted content in a clean, readable `.txt`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**Independent Auditors' Report**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To: The Members of Axis Finance Limited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**Report on the Audit of the Ind AS Financial Statements**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**Opinion**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We have audited the accompanying financial statements of Axis Finance Limited ("the Company"), which comprise: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Balance Sheet as at March 31, 2025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Statement of Profit and Loss (including Other Comprehensive Income)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Statement of Changes in Equity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Statement of Cash Flows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Notes to the financial statements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The financial statements give a true and fair view in conformity with Indian Accounting Standards (Ind AS) and other accounting principles generally accepted in India.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**Basis for Opinion**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The audit was conducted in accordance with Standards on Auditing (SAs). We are independent of the Company and have fulfilled our ethical responsibilities.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**Key Audit Matters**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Key audit matters addressed: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**Allowance for Expected Credit Loss (ECL) on Loans**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- Carrying value of loan assets: ₹36,75,276 lakhs (net of allowance of ₹53,919 lakhs).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- Audit approach included evaluating accounting policies, testing controls, and assessing ECL model assumptions.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**Information Technology (IT) System and Controls**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Focus on IT general and application controls, user access management, and segregation of duties.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**Balance Sheet as at March 31, 2025**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*(All amounts in ₹ lakhs)*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**ASSETS**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Financial Assets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Cash and cash equivalents: 80,125.41 (2024: 60,703.63)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Receivables: 39.83 (2024: 759.27)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Loans (net of ECL): 36,75,276.37 (2024: 30,35,677.49)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Investments: 1,53,413.06 (2024: 1,54,816.28)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Other financial assets: 19,240.75 (2024: 17,368.69)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**Total Financial Assets: 39,28,095.42 (2024: 32,69,325.86)**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Non-Financial Assets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Property, plant and equipment: 1,158.57 (2024: 813.28)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Intangible assets: 1,774.41 (2024: 1,391.34)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Right-of-use assets: 1,349.96 (2024: 2,113.36)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**Total Non-Financial Assets: 23,591.22 (2024: 20,883.62)**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**Total Assets: 39,51,686.64 (2024: 32,90,208.98)**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**LIABILITIES AND EQUITY**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Financial Liabilities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Payables: 4,080.92 (2024: 4,491.89)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Debt securities: 12,66,822.84 (2024: 12,09,669.26)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Borrowings: 17,971.70 (2024: 13,40,752.19)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**Total Liabilities: 34,21,279.27 (2024: 28,83,344.47)**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Equity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Equity share capital: 69,357.05 (2024: 62,706.38)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Other equity: 4,61,050.32 (2024: 3,44,156.13)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**Total Equity: 5,30,407.37 (2024: 4,06,864.51)**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**Total Liabilities and Equity: 39,51,686.64 (2024: 32,90,208.98)**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**Statement of Profit and Loss for the Year Ended March 31, 2025**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*(All amounts in ₹ lakhs)*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Revenue from operations: 4,09,379.09 (2024: 3,15,282.23)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Other income: 684.42 (2024: 131.12)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**Total Income: 4,10,063.51 (2024: 3,15,413.35)**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Expenses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Finance costs: 2,43,574.42 (2024: 1,82,973.07)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Impairment on financial instruments: 32,315.27 (2024: 15,402.05)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Employee benefits: 27,422.47 (2024: 24,518.13)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**Total Expenses: 3,03,312.16 (2024: 2,22,893.25)**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**Profit Before Tax: 1,06,751.35 (2024: 92,520.10)**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Tax Expense: 26,077.74 (2024: 21,994.68)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**Profit After Tax: 80,673.61 (2024: 70,525.42)**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**Key Notes to Financial Statements**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**Corporate Information**: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Axis Finance Limited is a public company incorporated in India, primarily engaged in lending activities.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Registered office: Ground floor, Axis House, C-2 Wadia International Centre, Mumbai.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**Material Accounting Policies**: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**Revenue Recognition**: Interest income recognized using Effective Interest Rate (EIR) method.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**Impairment of Financial Assets**: Expected Credit Loss (ECL) model applied for loans and investments.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**Property, Plant, and Equipment**: Depreciated using straight-line method over useful lives.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**Audit Findings**: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No material misstatements or fraud detected.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IT controls and ECL calculations were key focus areas.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**Annexures**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Annexure A: Compliance with legal and regulatory requirements.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Annexure B: Report on internal financial controls.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**Signatures**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 B.K. Khare &amp; Co.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Shirish Rahalkar, Partner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G.M. Kapadia &amp; Co.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Rajen Ashar, Partner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Place: Mumbai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Date: April 17, 2025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This `.txt` version maintains structure with clear headings, bullet points, and tabular data simplified for plain text. Let me know if you'd like any adjustments!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