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firstLine="0" w:left="60" w:right="60"/>
      </w:pPr>
      <w:r>
        <w:t xml:space="preserve">Table 1: Japan imports from each ASEAN country in 2000 and 2012
(in thousands of current USD)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</w:tblGrid>
      <w:tr>
        <w:trPr>
          <w:trHeight w:val="360" w:hRule="auto"/>
        </w:trPr>
        body1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Year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single" w:sz="3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Brunei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Indonesia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Cambodia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Laos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Myanmar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Malaysia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Philippines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Singapore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Thailand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Vietnam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2000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single" w:sz="3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1,653,626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16,381,575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52,190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11,960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119,417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14,456,714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7,199,737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6,382,106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10,593,435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2,639,663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2012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single" w:sz="3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5,990,678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32,290,004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404,271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123,553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672,133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32,754,331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9,315,304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8,684,152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23,571,249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15,079,322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Evolution (in %)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single" w:sz="3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262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675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933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463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471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2023-05-07T22:54:30Z</dcterms:modified>
  <cp:category/>
</cp:coreProperties>
</file>