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firstLine="0" w:left="60" w:right="60"/>
      </w:pPr>
      <w:r>
        <w:t xml:space="preserve">Estimating Heterogeneous Effects of Japan's ASEAN+1 Agreement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2"/>
        <w:gridCol w:w="2592"/>
        <w:gridCol w:w="2592"/>
        <w:gridCol w:w="2592"/>
      </w:tblGrid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PPML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 PPML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(3) OLS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Directional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RTA Types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ENDG - RTA Types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 distance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-0.711 *** (0.034)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-0.674 *** (0.035)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 (0.071)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 (0.069)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Colonizer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 * (0.136)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 * (0.126)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Colonial relation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 (0.185)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 (0.191)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Legal origins before 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 *** (0.082)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 *** (0.078)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Legal origins after 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-0.182 * (0.084)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 (0.079)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 (0.110)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 (0.100)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GATT/WTO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 (0.203)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 (0.193)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 (0.044)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RTA in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0.406 *** (0.070)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RTA ASEAN --&gt; Japan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0.809 *** (0.188)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0.734 *** (0.202)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 (0.404)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RTA Japan --&gt; ASEAN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0.887 *** (0.179)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0.790 *** (0.185)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-0.379 (0.273)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Japan in FTA &amp; EIA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 (0.183)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 (0.135)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 in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0.583 *** (0.109)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0.513 *** (0.092)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 &amp; EIA in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1.004 *** (0.093)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0.722 *** (0.058)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EIA in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-0.102 (0.288)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 (0.247)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FTA in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 *** (0.081)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 *** (0.038)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FTA &amp; EIA in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 * (0.089)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 (0.034)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PSA &amp; EIA in RoW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-0.459 *** (0.135)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 (0.464)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394947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394947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280004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Intra-national trade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0.841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 R^2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0.947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gridSpan w:val="4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 Statistics based on author's calculations. All estimates are obtained with data for the period from 1965 to 2020 with 3-year intervals. Standard errors are clustered by country pair and are reported in parentheses.  *** p &lt; 0.001;  ** p &lt; 0.01;  * p &lt; 0.05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2023-05-07T22:39:43Z</dcterms:modified>
  <cp:category/>
</cp:coreProperties>
</file>