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Estimating Heterogeneous Effects of Japan's ASEAN+1 Agreement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3888"/>
        <w:gridCol w:w="3888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PPML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Directional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Types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 *** (0.034)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 *** (0.035)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 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(0.069)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 * 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 * (0.126)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 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(0.191)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 *** 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 *** (0.078)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 * 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 (0.079)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 (0.100)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 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(0.193)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 *** 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 --&gt; 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 *** 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 *** (0.202)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Japan --&gt; ASEAN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 *** (0.179)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 *** (0.185)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 in FTA &amp; 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 (0.183)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 *** (0.109)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 *** (0.093)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 (0.288)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 *** (0.081)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 * (0.089)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 &amp; EIA in RoW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 *** (0.135)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Intra-national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trHeight w:val="360" w:hRule="auto"/>
        </w:trPr>
        body25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2023-05-01T18:23:05Z</dcterms:modified>
  <cp:category/>
</cp:coreProperties>
</file>