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Estimating General Effects of Japan's ASEAN+1 Agreement Compared to All Regional Trade Agreements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296"/>
        <w:gridCol w:w="1296"/>
        <w:gridCol w:w="1296"/>
        <w:gridCol w:w="1296"/>
        <w:gridCol w:w="1296"/>
        <w:gridCol w:w="1296"/>
      </w:tblGrid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 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 PPML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 PPML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(6) OLS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Naive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MRT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RVRS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ENDG 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-13.650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30.390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exporter 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importer 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Exporter remoteness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Importer remoteness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distance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Colonizer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Colonial relation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Legal origins before 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Legal origins after 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GATT/WTO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 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ASEAN-Japan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(0.214)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in RoW(t+3)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ASEAN-Japan(t+3)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267856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267856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267856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394947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361352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280004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Intra-national trade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 R^2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gridSpan w:val="7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Statistics based on author's calculations. All estimates are obtained with data for the period from 1965 to 2020 with 3-year intervals. Standard errors are clustered by country pair and are reported in parentheses.  *** p &lt; 0.001;  ** p &lt; 0.01;  * p &lt; 0.05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2023-05-07T20:43:47Z</dcterms:modified>
  <cp:category/>
</cp:coreProperties>
</file>