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General Effects of Japan's ASEAN+1 Agreement Compared to All Regional Trade Agreements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111"/>
        <w:gridCol w:w="1111"/>
        <w:gridCol w:w="1111"/>
        <w:gridCol w:w="1111"/>
        <w:gridCol w:w="1111"/>
        <w:gridCol w:w="1111"/>
        <w:gridCol w:w="1111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(4.1) PPML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RTA,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INTRA,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ENDG, types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 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282156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494912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494912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other RTAs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trHeight w:val="360" w:hRule="auto"/>
        </w:trPr>
        body42
        <w:tc>
          <w:tcPr>
            <w:gridSpan w:val="8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2023-04-16T23:57:56Z</dcterms:modified>
  <cp:category/>
</cp:coreProperties>
</file>