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7747" w14:textId="255B9760" w:rsidR="00371C79" w:rsidRDefault="005C4BC8" w:rsidP="00371C79">
      <w:pPr>
        <w:spacing w:line="480" w:lineRule="auto"/>
        <w:rPr>
          <w:color w:val="000000" w:themeColor="text1"/>
        </w:rPr>
      </w:pPr>
      <w:r w:rsidRPr="003B6F99">
        <w:rPr>
          <w:strike/>
          <w:color w:val="000000" w:themeColor="text1"/>
        </w:rPr>
        <w:t>Fire severity in most systems is often measured as a metric of canopy or overstory mortality; however, even moderate severity fires in the boreal can cause full canopy mortality (</w:t>
      </w:r>
      <w:proofErr w:type="spellStart"/>
      <w:r w:rsidRPr="003B6F99">
        <w:rPr>
          <w:strike/>
          <w:color w:val="000000" w:themeColor="text1"/>
        </w:rPr>
        <w:t>Kasischke</w:t>
      </w:r>
      <w:proofErr w:type="spellEnd"/>
      <w:r w:rsidRPr="003B6F99">
        <w:rPr>
          <w:strike/>
          <w:color w:val="000000" w:themeColor="text1"/>
        </w:rPr>
        <w:t xml:space="preserve"> et al. 2006). Substrate consumption, or the amount of soil consumed during fire, is often used as a more sensitive alternative (i.e., Turetsky et al. 2011). Not only does organic layer consumption as a metric of burn severity encompass higher severity events, </w:t>
      </w:r>
      <w:proofErr w:type="gramStart"/>
      <w:r w:rsidRPr="003B6F99">
        <w:rPr>
          <w:strike/>
          <w:color w:val="000000" w:themeColor="text1"/>
        </w:rPr>
        <w:t>it</w:t>
      </w:r>
      <w:proofErr w:type="gramEnd"/>
      <w:r w:rsidRPr="003B6F99">
        <w:rPr>
          <w:strike/>
          <w:color w:val="000000" w:themeColor="text1"/>
        </w:rPr>
        <w:t xml:space="preserve"> also captures potential resilience within topographic contexts that may mediate or negate the effects of fire. Specifically, poor drainage and generally higher soil moisture characteristic of lowland topographies indicates two fires in different topographic positions may produce different levels of organic soil consumption, culminating in ultimately different fire severity in terms of effects. </w:t>
      </w:r>
      <w:commentRangeStart w:id="0"/>
      <w:r w:rsidRPr="003B6F99">
        <w:rPr>
          <w:strike/>
          <w:color w:val="000000" w:themeColor="text1"/>
        </w:rPr>
        <w:t>Here, we use the term “cumulative severity” to indicate not the severity of individual events, but the difference in severity observed more generally between topographic position due to underlying drainage conditions.</w:t>
      </w:r>
      <w:r w:rsidRPr="00BD2435">
        <w:rPr>
          <w:color w:val="000000" w:themeColor="text1"/>
        </w:rPr>
        <w:t xml:space="preserve"> </w:t>
      </w:r>
      <w:commentRangeEnd w:id="0"/>
      <w:r>
        <w:rPr>
          <w:rStyle w:val="CommentReference"/>
        </w:rPr>
        <w:commentReference w:id="0"/>
      </w:r>
    </w:p>
    <w:p w14:paraId="45CAF925" w14:textId="16C4CDEC" w:rsidR="005C4BC8" w:rsidRDefault="005C4BC8" w:rsidP="00371C79">
      <w:pPr>
        <w:spacing w:line="480" w:lineRule="auto"/>
        <w:rPr>
          <w:color w:val="000000" w:themeColor="text1"/>
        </w:rPr>
      </w:pPr>
    </w:p>
    <w:p w14:paraId="171C832B" w14:textId="4CF5EE38" w:rsidR="005C4BC8" w:rsidRDefault="005C4BC8" w:rsidP="00371C79">
      <w:pPr>
        <w:spacing w:line="480" w:lineRule="auto"/>
        <w:rPr>
          <w:strike/>
          <w:color w:val="000000" w:themeColor="text1"/>
        </w:rPr>
      </w:pPr>
      <w:r w:rsidRPr="009D3025">
        <w:rPr>
          <w:strike/>
          <w:color w:val="000000" w:themeColor="text1"/>
        </w:rPr>
        <w:t>Burn severity is primarily measured through organic layer consumption in Alaska (Keeley 2009), and poorly drained soils in lowland topographies may mediate initial severity by preventing full combustion.</w:t>
      </w:r>
    </w:p>
    <w:p w14:paraId="11C0BB61" w14:textId="29E13455" w:rsidR="005C4BC8" w:rsidRDefault="005C4BC8" w:rsidP="00371C79">
      <w:pPr>
        <w:spacing w:line="480" w:lineRule="auto"/>
        <w:rPr>
          <w:strike/>
          <w:color w:val="000000" w:themeColor="text1"/>
        </w:rPr>
      </w:pPr>
    </w:p>
    <w:p w14:paraId="3FA16E48" w14:textId="323DDFAA" w:rsidR="005C4BC8" w:rsidRDefault="005C4BC8" w:rsidP="00371C79">
      <w:pPr>
        <w:spacing w:line="480" w:lineRule="auto"/>
        <w:rPr>
          <w:color w:val="000000" w:themeColor="text1"/>
        </w:rPr>
      </w:pPr>
      <w:r w:rsidRPr="00BD2435">
        <w:rPr>
          <w:color w:val="000000" w:themeColor="text1"/>
        </w:rPr>
        <w:t>Here, we use soil organic layer depth as a proxy for severity and infer accordingly that the lowland site experienced milder burn severity since less soil was consumed during each fire (Hayes and Buma 2021).</w:t>
      </w:r>
    </w:p>
    <w:p w14:paraId="4337EE83" w14:textId="77777777" w:rsidR="00371C79" w:rsidRDefault="00371C79" w:rsidP="00371C79">
      <w:pPr>
        <w:spacing w:line="480" w:lineRule="auto"/>
        <w:rPr>
          <w:color w:val="000000" w:themeColor="text1"/>
        </w:rPr>
      </w:pPr>
    </w:p>
    <w:p w14:paraId="6A4AABF6" w14:textId="05829AC8" w:rsidR="00371C79" w:rsidRDefault="00371C79" w:rsidP="00371C79">
      <w:pPr>
        <w:spacing w:line="480" w:lineRule="auto"/>
        <w:rPr>
          <w:color w:val="000000" w:themeColor="text1"/>
        </w:rPr>
      </w:pPr>
      <w:r>
        <w:rPr>
          <w:color w:val="000000" w:themeColor="text1"/>
        </w:rPr>
        <w:t>Methods</w:t>
      </w:r>
    </w:p>
    <w:p w14:paraId="55FD3823" w14:textId="77777777" w:rsidR="00C61D5F" w:rsidRDefault="00C61D5F" w:rsidP="00C61D5F">
      <w:pPr>
        <w:spacing w:line="480" w:lineRule="auto"/>
        <w:rPr>
          <w:color w:val="000000"/>
        </w:rPr>
      </w:pPr>
      <w:r>
        <w:rPr>
          <w:color w:val="000000"/>
        </w:rPr>
        <w:lastRenderedPageBreak/>
        <w:t>Regeneration strategy was distinguished based on rooting style: we categorized individual stems as sexual reproduction and treated clumps of stems as an initial single sexual reproduction event, while each stem thereafter we recorded as asexual reproduction. We determined the relative abundance of each strategy by dividing the abundance of a given trait by the total number of stems on a plot.</w:t>
      </w:r>
    </w:p>
    <w:p w14:paraId="136E2422" w14:textId="77777777" w:rsidR="00371C79" w:rsidRDefault="00371C79" w:rsidP="00371C79">
      <w:pPr>
        <w:spacing w:line="480" w:lineRule="auto"/>
        <w:rPr>
          <w:color w:val="000000" w:themeColor="text1"/>
        </w:rPr>
      </w:pPr>
    </w:p>
    <w:p w14:paraId="13ABB9BE" w14:textId="53C5E763" w:rsidR="00371C79" w:rsidRPr="00BD2435" w:rsidRDefault="00371C79" w:rsidP="00371C79">
      <w:pPr>
        <w:spacing w:line="480" w:lineRule="auto"/>
        <w:rPr>
          <w:color w:val="000000" w:themeColor="text1"/>
        </w:rPr>
      </w:pPr>
      <w:r w:rsidRPr="00BD2435">
        <w:rPr>
          <w:color w:val="000000" w:themeColor="text1"/>
        </w:rPr>
        <w:t xml:space="preserve">One current challenge in the modeling approach is the possible collinearity between the independent variables of number of fires and organic layer depth. A solution to this problem would be to collect additional species-level data in the lowland site. Lowland plots have an identical number of fires, but their organic layer depths are known to be different (I.e., Fig. 7B in Chapter 1). Including species-level data from the lowland site would introduce variability, potentially resolving any issues of collinearity. Furthermore, including the lowland site in the analysis would help resolve any potential problems related to small sampling size. </w:t>
      </w:r>
    </w:p>
    <w:p w14:paraId="244E2665" w14:textId="77777777" w:rsidR="00371C79" w:rsidRPr="00BD2435" w:rsidRDefault="00371C79" w:rsidP="00371C79">
      <w:pPr>
        <w:spacing w:line="480" w:lineRule="auto"/>
        <w:rPr>
          <w:color w:val="000000" w:themeColor="text1"/>
        </w:rPr>
      </w:pPr>
      <w:r w:rsidRPr="00BD2435">
        <w:rPr>
          <w:color w:val="000000" w:themeColor="text1"/>
        </w:rPr>
        <w:t xml:space="preserve">Furthermore, if additional species-level data is collected from the lowland site, comparisons can be made between upland and lowland plots. </w:t>
      </w:r>
    </w:p>
    <w:p w14:paraId="2DFFE0F3" w14:textId="77777777" w:rsidR="00CA4A83" w:rsidRPr="00D82DC7" w:rsidRDefault="00CA4A83" w:rsidP="00CA4A83">
      <w:pPr>
        <w:spacing w:line="480" w:lineRule="auto"/>
        <w:rPr>
          <w:strike/>
          <w:color w:val="4472C4" w:themeColor="accent1"/>
        </w:rPr>
      </w:pPr>
      <w:r w:rsidRPr="00D82DC7">
        <w:rPr>
          <w:strike/>
          <w:color w:val="4472C4" w:themeColor="accent1"/>
        </w:rPr>
        <w:t xml:space="preserve">To investigate the prevalence of different regeneration strategies in post-fire communities across the reburn sequence, we intend to use a permutation test to create a null distribution in which the relative abundance of asexual reproducers is distributed randomly across reburn history and topographic position. This approach will allow us to quantify the difference between the null distribution of randomly distributed asexual reproducers and the observed distribution of asexual reproducers across reburn history, essentially comparing between the mean across all samples, and the means of each reburn history (0, 1, 2 and 3). A p-value of mean difference between the </w:t>
      </w:r>
      <w:r w:rsidRPr="00D82DC7">
        <w:rPr>
          <w:strike/>
          <w:color w:val="4472C4" w:themeColor="accent1"/>
        </w:rPr>
        <w:lastRenderedPageBreak/>
        <w:t xml:space="preserve">pooled sampled mean and means of each reburn category will be calculating using a two-tailed t-test.  </w:t>
      </w:r>
      <w:r w:rsidRPr="00D82DC7">
        <w:rPr>
          <w:color w:val="4472C4" w:themeColor="accent1"/>
        </w:rPr>
        <w:t>[Not doing anymore, need to revise]</w:t>
      </w:r>
    </w:p>
    <w:p w14:paraId="35A5B04A" w14:textId="77777777" w:rsidR="00371C79" w:rsidRPr="00BD2435" w:rsidRDefault="00371C79" w:rsidP="00371C79">
      <w:pPr>
        <w:spacing w:line="480" w:lineRule="auto"/>
        <w:rPr>
          <w:color w:val="000000" w:themeColor="text1"/>
        </w:rPr>
      </w:pPr>
    </w:p>
    <w:p w14:paraId="1EF570DE" w14:textId="77777777" w:rsidR="00C61D5F" w:rsidRDefault="00C61D5F" w:rsidP="00C61D5F">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Regeneration strategies</w:t>
      </w:r>
    </w:p>
    <w:p w14:paraId="48F7ABF2" w14:textId="77777777" w:rsidR="00C61D5F" w:rsidRDefault="00C61D5F" w:rsidP="00C61D5F">
      <w:pPr>
        <w:spacing w:line="480" w:lineRule="auto"/>
        <w:rPr>
          <w:color w:val="000000"/>
        </w:rPr>
      </w:pPr>
      <w:r>
        <w:rPr>
          <w:color w:val="000000"/>
        </w:rPr>
        <w:t>Presence of asexual reproducers appears to increase across increasing reburns (Fig. 2).</w:t>
      </w:r>
    </w:p>
    <w:p w14:paraId="608C3EB3" w14:textId="77777777" w:rsidR="00C61D5F" w:rsidRDefault="00C61D5F" w:rsidP="00C61D5F">
      <w:pPr>
        <w:pBdr>
          <w:top w:val="nil"/>
          <w:left w:val="nil"/>
          <w:bottom w:val="nil"/>
          <w:right w:val="nil"/>
          <w:between w:val="nil"/>
        </w:pBdr>
        <w:spacing w:line="480" w:lineRule="auto"/>
        <w:rPr>
          <w:color w:val="000000"/>
          <w:sz w:val="22"/>
          <w:szCs w:val="22"/>
        </w:rPr>
      </w:pPr>
    </w:p>
    <w:p w14:paraId="7F4E466B" w14:textId="77777777" w:rsidR="00C61D5F" w:rsidRDefault="00C61D5F" w:rsidP="00C61D5F">
      <w:pPr>
        <w:spacing w:line="480" w:lineRule="auto"/>
        <w:jc w:val="center"/>
        <w:rPr>
          <w:color w:val="000000"/>
        </w:rPr>
      </w:pPr>
      <w:r>
        <w:rPr>
          <w:noProof/>
          <w:color w:val="000000"/>
        </w:rPr>
        <w:drawing>
          <wp:inline distT="0" distB="0" distL="0" distR="0" wp14:anchorId="3D3458B8" wp14:editId="1C3C4ECE">
            <wp:extent cx="5943600" cy="2186305"/>
            <wp:effectExtent l="0" t="0" r="0" b="0"/>
            <wp:docPr id="13"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8"/>
                    <a:srcRect/>
                    <a:stretch>
                      <a:fillRect/>
                    </a:stretch>
                  </pic:blipFill>
                  <pic:spPr>
                    <a:xfrm>
                      <a:off x="0" y="0"/>
                      <a:ext cx="5943600" cy="2186305"/>
                    </a:xfrm>
                    <a:prstGeom prst="rect">
                      <a:avLst/>
                    </a:prstGeom>
                    <a:ln/>
                  </pic:spPr>
                </pic:pic>
              </a:graphicData>
            </a:graphic>
          </wp:inline>
        </w:drawing>
      </w:r>
    </w:p>
    <w:p w14:paraId="78F07E90" w14:textId="77777777" w:rsidR="00C61D5F" w:rsidRDefault="00C61D5F" w:rsidP="00C61D5F">
      <w:pPr>
        <w:spacing w:line="480" w:lineRule="auto"/>
        <w:rPr>
          <w:b/>
          <w:color w:val="000000"/>
          <w:sz w:val="20"/>
          <w:szCs w:val="20"/>
        </w:rPr>
      </w:pPr>
      <w:bookmarkStart w:id="1" w:name="_heading=h.2et92p0" w:colFirst="0" w:colLast="0"/>
      <w:bookmarkEnd w:id="1"/>
      <w:r>
        <w:rPr>
          <w:b/>
          <w:color w:val="000000"/>
          <w:sz w:val="20"/>
          <w:szCs w:val="20"/>
        </w:rPr>
        <w:t xml:space="preserve">Fig. 2. Relative abundance of regeneration strategies across reburn history. </w:t>
      </w:r>
    </w:p>
    <w:p w14:paraId="3068DFF9" w14:textId="77777777" w:rsidR="00371C79" w:rsidRPr="00BD2435" w:rsidRDefault="00371C79" w:rsidP="00371C79">
      <w:pPr>
        <w:spacing w:line="480" w:lineRule="auto"/>
        <w:rPr>
          <w:rFonts w:eastAsiaTheme="majorEastAsia"/>
          <w:b/>
          <w:color w:val="000000" w:themeColor="text1"/>
          <w:sz w:val="26"/>
          <w:szCs w:val="26"/>
        </w:rPr>
      </w:pPr>
    </w:p>
    <w:p w14:paraId="42652C2C" w14:textId="77777777" w:rsidR="00371C79" w:rsidRPr="00BD2435" w:rsidRDefault="00371C79" w:rsidP="00371C79">
      <w:pPr>
        <w:pStyle w:val="Heading2"/>
        <w:spacing w:line="480" w:lineRule="auto"/>
        <w:rPr>
          <w:rFonts w:ascii="Times New Roman" w:hAnsi="Times New Roman" w:cs="Times New Roman"/>
        </w:rPr>
      </w:pPr>
      <w:bookmarkStart w:id="2" w:name="_Toc42179336"/>
      <w:r w:rsidRPr="00BD2435">
        <w:rPr>
          <w:rFonts w:ascii="Times New Roman" w:hAnsi="Times New Roman" w:cs="Times New Roman"/>
        </w:rPr>
        <w:t>Proposed Timeline</w:t>
      </w:r>
      <w:bookmarkEnd w:id="2"/>
    </w:p>
    <w:p w14:paraId="3E5C7039" w14:textId="77777777" w:rsidR="00371C79" w:rsidRPr="00BD2435" w:rsidRDefault="00371C79" w:rsidP="00371C79">
      <w:pPr>
        <w:spacing w:line="480" w:lineRule="auto"/>
        <w:rPr>
          <w:color w:val="000000" w:themeColor="text1"/>
        </w:rPr>
      </w:pPr>
    </w:p>
    <w:tbl>
      <w:tblPr>
        <w:tblStyle w:val="TableGrid"/>
        <w:tblW w:w="0" w:type="auto"/>
        <w:tblLook w:val="04A0" w:firstRow="1" w:lastRow="0" w:firstColumn="1" w:lastColumn="0" w:noHBand="0" w:noVBand="1"/>
      </w:tblPr>
      <w:tblGrid>
        <w:gridCol w:w="812"/>
        <w:gridCol w:w="1111"/>
        <w:gridCol w:w="630"/>
        <w:gridCol w:w="754"/>
        <w:gridCol w:w="963"/>
        <w:gridCol w:w="641"/>
        <w:gridCol w:w="818"/>
        <w:gridCol w:w="588"/>
        <w:gridCol w:w="718"/>
        <w:gridCol w:w="875"/>
        <w:gridCol w:w="784"/>
        <w:gridCol w:w="656"/>
      </w:tblGrid>
      <w:tr w:rsidR="00371C79" w:rsidRPr="00BD2435" w14:paraId="79F7A8A3" w14:textId="77777777" w:rsidTr="00032A86">
        <w:tc>
          <w:tcPr>
            <w:tcW w:w="1939" w:type="dxa"/>
            <w:gridSpan w:val="2"/>
            <w:tcBorders>
              <w:top w:val="single" w:sz="4" w:space="0" w:color="000000" w:themeColor="text1"/>
            </w:tcBorders>
          </w:tcPr>
          <w:p w14:paraId="7B4A052F" w14:textId="77777777" w:rsidR="00371C79" w:rsidRPr="00BD2435" w:rsidRDefault="00371C79" w:rsidP="00032A86">
            <w:pPr>
              <w:spacing w:line="480" w:lineRule="auto"/>
              <w:jc w:val="center"/>
              <w:rPr>
                <w:b/>
                <w:bCs/>
                <w:color w:val="000000" w:themeColor="text1"/>
              </w:rPr>
            </w:pPr>
            <w:r w:rsidRPr="00BD2435">
              <w:rPr>
                <w:b/>
                <w:bCs/>
                <w:color w:val="000000" w:themeColor="text1"/>
              </w:rPr>
              <w:t>Summer 2018-19</w:t>
            </w:r>
          </w:p>
        </w:tc>
        <w:tc>
          <w:tcPr>
            <w:tcW w:w="3790" w:type="dxa"/>
            <w:gridSpan w:val="5"/>
            <w:tcBorders>
              <w:top w:val="single" w:sz="4" w:space="0" w:color="000000" w:themeColor="text1"/>
            </w:tcBorders>
          </w:tcPr>
          <w:p w14:paraId="61B5CB0B"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2018-19</w:t>
            </w:r>
          </w:p>
        </w:tc>
        <w:tc>
          <w:tcPr>
            <w:tcW w:w="3621" w:type="dxa"/>
            <w:gridSpan w:val="5"/>
            <w:tcBorders>
              <w:top w:val="single" w:sz="4" w:space="0" w:color="000000" w:themeColor="text1"/>
            </w:tcBorders>
          </w:tcPr>
          <w:p w14:paraId="163B3F4A"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2020</w:t>
            </w:r>
          </w:p>
        </w:tc>
      </w:tr>
      <w:tr w:rsidR="00371C79" w:rsidRPr="00BD2435" w14:paraId="5E47FD66" w14:textId="77777777" w:rsidTr="00032A86">
        <w:tc>
          <w:tcPr>
            <w:tcW w:w="815" w:type="dxa"/>
          </w:tcPr>
          <w:p w14:paraId="2D0D5C3E" w14:textId="77777777" w:rsidR="00371C79" w:rsidRPr="00BD2435" w:rsidRDefault="00371C79" w:rsidP="00032A86">
            <w:pPr>
              <w:spacing w:line="480" w:lineRule="auto"/>
              <w:rPr>
                <w:color w:val="000000" w:themeColor="text1"/>
              </w:rPr>
            </w:pPr>
            <w:r w:rsidRPr="00BD2435">
              <w:rPr>
                <w:color w:val="000000" w:themeColor="text1"/>
              </w:rPr>
              <w:t>June</w:t>
            </w:r>
          </w:p>
        </w:tc>
        <w:tc>
          <w:tcPr>
            <w:tcW w:w="1124" w:type="dxa"/>
          </w:tcPr>
          <w:p w14:paraId="74988712"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Borders>
              <w:bottom w:val="single" w:sz="4" w:space="0" w:color="auto"/>
            </w:tcBorders>
          </w:tcPr>
          <w:p w14:paraId="1A82A17F" w14:textId="77777777" w:rsidR="00371C79" w:rsidRPr="00BD2435" w:rsidRDefault="00371C79" w:rsidP="00032A86">
            <w:pPr>
              <w:spacing w:line="480" w:lineRule="auto"/>
              <w:rPr>
                <w:color w:val="000000" w:themeColor="text1"/>
              </w:rPr>
            </w:pPr>
            <w:r w:rsidRPr="00BD2435">
              <w:rPr>
                <w:color w:val="000000" w:themeColor="text1"/>
              </w:rPr>
              <w:t>Aug</w:t>
            </w:r>
          </w:p>
        </w:tc>
        <w:tc>
          <w:tcPr>
            <w:tcW w:w="757" w:type="dxa"/>
            <w:tcBorders>
              <w:bottom w:val="single" w:sz="4" w:space="0" w:color="auto"/>
            </w:tcBorders>
          </w:tcPr>
          <w:p w14:paraId="207A449A" w14:textId="77777777" w:rsidR="00371C79" w:rsidRPr="00BD2435" w:rsidRDefault="00371C79" w:rsidP="00032A86">
            <w:pPr>
              <w:spacing w:line="480" w:lineRule="auto"/>
              <w:rPr>
                <w:color w:val="000000" w:themeColor="text1"/>
              </w:rPr>
            </w:pPr>
            <w:r w:rsidRPr="00BD2435">
              <w:rPr>
                <w:color w:val="000000" w:themeColor="text1"/>
              </w:rPr>
              <w:t>Sept</w:t>
            </w:r>
          </w:p>
        </w:tc>
        <w:tc>
          <w:tcPr>
            <w:tcW w:w="974" w:type="dxa"/>
            <w:tcBorders>
              <w:bottom w:val="single" w:sz="4" w:space="0" w:color="auto"/>
            </w:tcBorders>
          </w:tcPr>
          <w:p w14:paraId="0DA69C05" w14:textId="77777777" w:rsidR="00371C79" w:rsidRPr="00BD2435" w:rsidRDefault="00371C79" w:rsidP="00032A86">
            <w:pPr>
              <w:spacing w:line="480" w:lineRule="auto"/>
              <w:rPr>
                <w:color w:val="000000" w:themeColor="text1"/>
              </w:rPr>
            </w:pPr>
            <w:r w:rsidRPr="00BD2435">
              <w:rPr>
                <w:color w:val="000000" w:themeColor="text1"/>
              </w:rPr>
              <w:t>Oct</w:t>
            </w:r>
          </w:p>
        </w:tc>
        <w:tc>
          <w:tcPr>
            <w:tcW w:w="641" w:type="dxa"/>
            <w:tcBorders>
              <w:bottom w:val="single" w:sz="4" w:space="0" w:color="auto"/>
            </w:tcBorders>
          </w:tcPr>
          <w:p w14:paraId="4BBC17A6" w14:textId="77777777" w:rsidR="00371C79" w:rsidRPr="00BD2435" w:rsidRDefault="00371C79" w:rsidP="00032A86">
            <w:pPr>
              <w:spacing w:line="480" w:lineRule="auto"/>
              <w:rPr>
                <w:color w:val="000000" w:themeColor="text1"/>
              </w:rPr>
            </w:pPr>
            <w:r w:rsidRPr="00BD2435">
              <w:rPr>
                <w:color w:val="000000" w:themeColor="text1"/>
              </w:rPr>
              <w:t>Nov</w:t>
            </w:r>
          </w:p>
        </w:tc>
        <w:tc>
          <w:tcPr>
            <w:tcW w:w="824" w:type="dxa"/>
            <w:tcBorders>
              <w:bottom w:val="single" w:sz="4" w:space="0" w:color="auto"/>
            </w:tcBorders>
          </w:tcPr>
          <w:p w14:paraId="09E41F1D" w14:textId="77777777" w:rsidR="00371C79" w:rsidRPr="00BD2435" w:rsidRDefault="00371C79" w:rsidP="00032A86">
            <w:pPr>
              <w:spacing w:line="480" w:lineRule="auto"/>
              <w:rPr>
                <w:color w:val="000000" w:themeColor="text1"/>
              </w:rPr>
            </w:pPr>
            <w:r w:rsidRPr="00BD2435">
              <w:rPr>
                <w:color w:val="000000" w:themeColor="text1"/>
              </w:rPr>
              <w:t>Dec</w:t>
            </w:r>
          </w:p>
        </w:tc>
        <w:tc>
          <w:tcPr>
            <w:tcW w:w="589" w:type="dxa"/>
          </w:tcPr>
          <w:p w14:paraId="0F8A4CEB" w14:textId="77777777" w:rsidR="00371C79" w:rsidRPr="00BD2435" w:rsidRDefault="00371C79" w:rsidP="00032A86">
            <w:pPr>
              <w:spacing w:line="480" w:lineRule="auto"/>
              <w:rPr>
                <w:color w:val="000000" w:themeColor="text1"/>
              </w:rPr>
            </w:pPr>
            <w:r w:rsidRPr="00BD2435">
              <w:rPr>
                <w:color w:val="000000" w:themeColor="text1"/>
              </w:rPr>
              <w:t>Jan</w:t>
            </w:r>
          </w:p>
        </w:tc>
        <w:tc>
          <w:tcPr>
            <w:tcW w:w="722" w:type="dxa"/>
          </w:tcPr>
          <w:p w14:paraId="47B57B62" w14:textId="77777777" w:rsidR="00371C79" w:rsidRPr="00BD2435" w:rsidRDefault="00371C79" w:rsidP="00032A86">
            <w:pPr>
              <w:spacing w:line="480" w:lineRule="auto"/>
              <w:rPr>
                <w:color w:val="000000" w:themeColor="text1"/>
              </w:rPr>
            </w:pPr>
            <w:r w:rsidRPr="00BD2435">
              <w:rPr>
                <w:color w:val="000000" w:themeColor="text1"/>
              </w:rPr>
              <w:t>Feb</w:t>
            </w:r>
          </w:p>
        </w:tc>
        <w:tc>
          <w:tcPr>
            <w:tcW w:w="876" w:type="dxa"/>
          </w:tcPr>
          <w:p w14:paraId="184B384B" w14:textId="77777777" w:rsidR="00371C79" w:rsidRPr="00BD2435" w:rsidRDefault="00371C79" w:rsidP="00032A86">
            <w:pPr>
              <w:spacing w:line="480" w:lineRule="auto"/>
              <w:rPr>
                <w:color w:val="000000" w:themeColor="text1"/>
              </w:rPr>
            </w:pPr>
            <w:r w:rsidRPr="00BD2435">
              <w:rPr>
                <w:color w:val="000000" w:themeColor="text1"/>
              </w:rPr>
              <w:t>March</w:t>
            </w:r>
          </w:p>
        </w:tc>
        <w:tc>
          <w:tcPr>
            <w:tcW w:w="786" w:type="dxa"/>
          </w:tcPr>
          <w:p w14:paraId="18BB58FC"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665176D0"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49E753D4" w14:textId="77777777" w:rsidTr="00032A86">
        <w:trPr>
          <w:trHeight w:val="187"/>
        </w:trPr>
        <w:tc>
          <w:tcPr>
            <w:tcW w:w="1939" w:type="dxa"/>
            <w:gridSpan w:val="2"/>
            <w:vMerge w:val="restart"/>
          </w:tcPr>
          <w:p w14:paraId="0AD12B38" w14:textId="77777777" w:rsidR="00371C79" w:rsidRPr="00BD2435" w:rsidRDefault="00371C79" w:rsidP="00032A86">
            <w:pPr>
              <w:spacing w:line="480" w:lineRule="auto"/>
              <w:rPr>
                <w:color w:val="000000" w:themeColor="text1"/>
              </w:rPr>
            </w:pPr>
            <w:r w:rsidRPr="00BD2435">
              <w:rPr>
                <w:color w:val="000000" w:themeColor="text1"/>
              </w:rPr>
              <w:t>Field Sampling</w:t>
            </w:r>
          </w:p>
        </w:tc>
        <w:tc>
          <w:tcPr>
            <w:tcW w:w="3790" w:type="dxa"/>
            <w:gridSpan w:val="5"/>
            <w:tcBorders>
              <w:bottom w:val="single" w:sz="4" w:space="0" w:color="auto"/>
            </w:tcBorders>
          </w:tcPr>
          <w:p w14:paraId="1573ABCF" w14:textId="77777777" w:rsidR="00371C79" w:rsidRPr="00BD2435" w:rsidRDefault="00371C79" w:rsidP="00032A86">
            <w:pPr>
              <w:spacing w:line="480" w:lineRule="auto"/>
              <w:rPr>
                <w:color w:val="000000" w:themeColor="text1"/>
              </w:rPr>
            </w:pPr>
            <w:r w:rsidRPr="00BD2435">
              <w:rPr>
                <w:color w:val="000000" w:themeColor="text1"/>
              </w:rPr>
              <w:t>Literature Review</w:t>
            </w:r>
          </w:p>
        </w:tc>
        <w:tc>
          <w:tcPr>
            <w:tcW w:w="3621" w:type="dxa"/>
            <w:gridSpan w:val="5"/>
            <w:vMerge w:val="restart"/>
          </w:tcPr>
          <w:p w14:paraId="1192DAFA" w14:textId="77777777" w:rsidR="00371C79" w:rsidRPr="00BD2435" w:rsidRDefault="00371C79" w:rsidP="00032A86">
            <w:pPr>
              <w:spacing w:line="480" w:lineRule="auto"/>
              <w:rPr>
                <w:color w:val="000000" w:themeColor="text1"/>
              </w:rPr>
            </w:pPr>
            <w:r w:rsidRPr="00BD2435">
              <w:rPr>
                <w:color w:val="000000" w:themeColor="text1"/>
              </w:rPr>
              <w:t>Literature Review / Exploratory Data Analysis</w:t>
            </w:r>
          </w:p>
        </w:tc>
      </w:tr>
      <w:tr w:rsidR="00371C79" w:rsidRPr="00BD2435" w14:paraId="6EDA2C0C" w14:textId="77777777" w:rsidTr="00032A86">
        <w:trPr>
          <w:trHeight w:val="186"/>
        </w:trPr>
        <w:tc>
          <w:tcPr>
            <w:tcW w:w="1939" w:type="dxa"/>
            <w:gridSpan w:val="2"/>
            <w:vMerge/>
          </w:tcPr>
          <w:p w14:paraId="4A87CFE5" w14:textId="77777777" w:rsidR="00371C79" w:rsidRPr="00BD2435" w:rsidRDefault="00371C79" w:rsidP="00032A86">
            <w:pPr>
              <w:spacing w:line="480" w:lineRule="auto"/>
              <w:rPr>
                <w:color w:val="000000" w:themeColor="text1"/>
              </w:rPr>
            </w:pPr>
          </w:p>
        </w:tc>
        <w:tc>
          <w:tcPr>
            <w:tcW w:w="3790" w:type="dxa"/>
            <w:gridSpan w:val="5"/>
            <w:tcBorders>
              <w:bottom w:val="single" w:sz="4" w:space="0" w:color="000000" w:themeColor="text1"/>
            </w:tcBorders>
          </w:tcPr>
          <w:p w14:paraId="573F62E6" w14:textId="77777777" w:rsidR="00371C79" w:rsidRPr="00BD2435" w:rsidRDefault="00371C79" w:rsidP="00032A86">
            <w:pPr>
              <w:spacing w:line="480" w:lineRule="auto"/>
              <w:rPr>
                <w:color w:val="000000" w:themeColor="text1"/>
              </w:rPr>
            </w:pPr>
            <w:r w:rsidRPr="00BD2435">
              <w:rPr>
                <w:color w:val="000000" w:themeColor="text1"/>
              </w:rPr>
              <w:t>Data entry / processing</w:t>
            </w:r>
          </w:p>
        </w:tc>
        <w:tc>
          <w:tcPr>
            <w:tcW w:w="3621" w:type="dxa"/>
            <w:gridSpan w:val="5"/>
            <w:vMerge/>
          </w:tcPr>
          <w:p w14:paraId="35C2022C" w14:textId="77777777" w:rsidR="00371C79" w:rsidRPr="00BD2435" w:rsidRDefault="00371C79" w:rsidP="00032A86">
            <w:pPr>
              <w:spacing w:line="480" w:lineRule="auto"/>
              <w:rPr>
                <w:color w:val="000000" w:themeColor="text1"/>
              </w:rPr>
            </w:pPr>
          </w:p>
        </w:tc>
      </w:tr>
    </w:tbl>
    <w:p w14:paraId="42D8AEF0" w14:textId="77777777" w:rsidR="00371C79" w:rsidRPr="00BD2435" w:rsidRDefault="00371C79" w:rsidP="00371C79">
      <w:pPr>
        <w:spacing w:line="480" w:lineRule="auto"/>
        <w:rPr>
          <w:b/>
          <w:bCs/>
          <w:color w:val="000000" w:themeColor="text1"/>
        </w:rPr>
      </w:pPr>
    </w:p>
    <w:tbl>
      <w:tblPr>
        <w:tblStyle w:val="TableGrid"/>
        <w:tblW w:w="0" w:type="auto"/>
        <w:tblLook w:val="04A0" w:firstRow="1" w:lastRow="0" w:firstColumn="1" w:lastColumn="0" w:noHBand="0" w:noVBand="1"/>
      </w:tblPr>
      <w:tblGrid>
        <w:gridCol w:w="897"/>
        <w:gridCol w:w="1071"/>
        <w:gridCol w:w="630"/>
        <w:gridCol w:w="755"/>
        <w:gridCol w:w="911"/>
        <w:gridCol w:w="642"/>
        <w:gridCol w:w="813"/>
        <w:gridCol w:w="589"/>
        <w:gridCol w:w="722"/>
        <w:gridCol w:w="876"/>
        <w:gridCol w:w="788"/>
        <w:gridCol w:w="656"/>
      </w:tblGrid>
      <w:tr w:rsidR="00371C79" w:rsidRPr="00BD2435" w14:paraId="6E6E9457" w14:textId="77777777" w:rsidTr="00032A86">
        <w:tc>
          <w:tcPr>
            <w:tcW w:w="1974" w:type="dxa"/>
            <w:gridSpan w:val="2"/>
            <w:tcBorders>
              <w:top w:val="single" w:sz="4" w:space="0" w:color="000000" w:themeColor="text1"/>
            </w:tcBorders>
          </w:tcPr>
          <w:p w14:paraId="0DBBFA4B" w14:textId="77777777" w:rsidR="00371C79" w:rsidRPr="00BD2435" w:rsidRDefault="00371C79" w:rsidP="00032A86">
            <w:pPr>
              <w:spacing w:line="480" w:lineRule="auto"/>
              <w:jc w:val="center"/>
              <w:rPr>
                <w:b/>
                <w:bCs/>
                <w:color w:val="000000" w:themeColor="text1"/>
              </w:rPr>
            </w:pPr>
            <w:r w:rsidRPr="00BD2435">
              <w:rPr>
                <w:b/>
                <w:bCs/>
                <w:color w:val="000000" w:themeColor="text1"/>
              </w:rPr>
              <w:lastRenderedPageBreak/>
              <w:t>Summer 2020</w:t>
            </w:r>
          </w:p>
        </w:tc>
        <w:tc>
          <w:tcPr>
            <w:tcW w:w="3741" w:type="dxa"/>
            <w:gridSpan w:val="5"/>
            <w:tcBorders>
              <w:top w:val="single" w:sz="4" w:space="0" w:color="000000" w:themeColor="text1"/>
            </w:tcBorders>
          </w:tcPr>
          <w:p w14:paraId="7F7DBF32"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2020</w:t>
            </w:r>
          </w:p>
        </w:tc>
        <w:tc>
          <w:tcPr>
            <w:tcW w:w="3635" w:type="dxa"/>
            <w:gridSpan w:val="5"/>
            <w:tcBorders>
              <w:top w:val="single" w:sz="4" w:space="0" w:color="000000" w:themeColor="text1"/>
            </w:tcBorders>
          </w:tcPr>
          <w:p w14:paraId="161CEAF6"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2021</w:t>
            </w:r>
          </w:p>
        </w:tc>
      </w:tr>
      <w:tr w:rsidR="00371C79" w:rsidRPr="00BD2435" w14:paraId="690A03F6" w14:textId="77777777" w:rsidTr="00032A86">
        <w:tc>
          <w:tcPr>
            <w:tcW w:w="884" w:type="dxa"/>
          </w:tcPr>
          <w:p w14:paraId="233DB78E" w14:textId="77777777" w:rsidR="00371C79" w:rsidRPr="00BD2435" w:rsidRDefault="00371C79" w:rsidP="00032A86">
            <w:pPr>
              <w:spacing w:line="480" w:lineRule="auto"/>
              <w:rPr>
                <w:color w:val="000000" w:themeColor="text1"/>
              </w:rPr>
            </w:pPr>
            <w:r w:rsidRPr="00BD2435">
              <w:rPr>
                <w:color w:val="000000" w:themeColor="text1"/>
              </w:rPr>
              <w:t>June</w:t>
            </w:r>
          </w:p>
        </w:tc>
        <w:tc>
          <w:tcPr>
            <w:tcW w:w="1090" w:type="dxa"/>
          </w:tcPr>
          <w:p w14:paraId="11B7966F"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Pr>
          <w:p w14:paraId="4B12DD9D" w14:textId="77777777" w:rsidR="00371C79" w:rsidRPr="00BD2435" w:rsidRDefault="00371C79" w:rsidP="00032A86">
            <w:pPr>
              <w:spacing w:line="480" w:lineRule="auto"/>
              <w:rPr>
                <w:color w:val="000000" w:themeColor="text1"/>
              </w:rPr>
            </w:pPr>
            <w:r w:rsidRPr="00BD2435">
              <w:rPr>
                <w:color w:val="000000" w:themeColor="text1"/>
              </w:rPr>
              <w:t>Aug</w:t>
            </w:r>
          </w:p>
        </w:tc>
        <w:tc>
          <w:tcPr>
            <w:tcW w:w="759" w:type="dxa"/>
          </w:tcPr>
          <w:p w14:paraId="2DCCC034" w14:textId="77777777" w:rsidR="00371C79" w:rsidRPr="00BD2435" w:rsidRDefault="00371C79" w:rsidP="00032A86">
            <w:pPr>
              <w:spacing w:line="480" w:lineRule="auto"/>
              <w:rPr>
                <w:color w:val="000000" w:themeColor="text1"/>
              </w:rPr>
            </w:pPr>
            <w:r w:rsidRPr="00BD2435">
              <w:rPr>
                <w:color w:val="000000" w:themeColor="text1"/>
              </w:rPr>
              <w:t>Sept</w:t>
            </w:r>
          </w:p>
        </w:tc>
        <w:tc>
          <w:tcPr>
            <w:tcW w:w="925" w:type="dxa"/>
          </w:tcPr>
          <w:p w14:paraId="22F66183" w14:textId="77777777" w:rsidR="00371C79" w:rsidRPr="00BD2435" w:rsidRDefault="00371C79" w:rsidP="00032A86">
            <w:pPr>
              <w:spacing w:line="480" w:lineRule="auto"/>
              <w:rPr>
                <w:color w:val="000000" w:themeColor="text1"/>
              </w:rPr>
            </w:pPr>
            <w:r w:rsidRPr="00BD2435">
              <w:rPr>
                <w:color w:val="000000" w:themeColor="text1"/>
              </w:rPr>
              <w:t>Oct</w:t>
            </w:r>
          </w:p>
        </w:tc>
        <w:tc>
          <w:tcPr>
            <w:tcW w:w="642" w:type="dxa"/>
          </w:tcPr>
          <w:p w14:paraId="6107912A" w14:textId="77777777" w:rsidR="00371C79" w:rsidRPr="00BD2435" w:rsidRDefault="00371C79" w:rsidP="00032A86">
            <w:pPr>
              <w:spacing w:line="480" w:lineRule="auto"/>
              <w:rPr>
                <w:color w:val="000000" w:themeColor="text1"/>
              </w:rPr>
            </w:pPr>
            <w:r w:rsidRPr="00BD2435">
              <w:rPr>
                <w:color w:val="000000" w:themeColor="text1"/>
              </w:rPr>
              <w:t>Nov</w:t>
            </w:r>
          </w:p>
        </w:tc>
        <w:tc>
          <w:tcPr>
            <w:tcW w:w="821" w:type="dxa"/>
          </w:tcPr>
          <w:p w14:paraId="7A58E965" w14:textId="77777777" w:rsidR="00371C79" w:rsidRPr="00BD2435" w:rsidRDefault="00371C79" w:rsidP="00032A86">
            <w:pPr>
              <w:spacing w:line="480" w:lineRule="auto"/>
              <w:rPr>
                <w:color w:val="000000" w:themeColor="text1"/>
              </w:rPr>
            </w:pPr>
            <w:r w:rsidRPr="00BD2435">
              <w:rPr>
                <w:color w:val="000000" w:themeColor="text1"/>
              </w:rPr>
              <w:t>Dec</w:t>
            </w:r>
          </w:p>
        </w:tc>
        <w:tc>
          <w:tcPr>
            <w:tcW w:w="591" w:type="dxa"/>
          </w:tcPr>
          <w:p w14:paraId="3FFED289" w14:textId="77777777" w:rsidR="00371C79" w:rsidRPr="00BD2435" w:rsidRDefault="00371C79" w:rsidP="00032A86">
            <w:pPr>
              <w:spacing w:line="480" w:lineRule="auto"/>
              <w:rPr>
                <w:color w:val="000000" w:themeColor="text1"/>
              </w:rPr>
            </w:pPr>
            <w:r w:rsidRPr="00BD2435">
              <w:rPr>
                <w:color w:val="000000" w:themeColor="text1"/>
              </w:rPr>
              <w:t>Jan</w:t>
            </w:r>
          </w:p>
        </w:tc>
        <w:tc>
          <w:tcPr>
            <w:tcW w:w="728" w:type="dxa"/>
          </w:tcPr>
          <w:p w14:paraId="2DDF9B93" w14:textId="77777777" w:rsidR="00371C79" w:rsidRPr="00BD2435" w:rsidRDefault="00371C79" w:rsidP="00032A86">
            <w:pPr>
              <w:spacing w:line="480" w:lineRule="auto"/>
              <w:rPr>
                <w:color w:val="000000" w:themeColor="text1"/>
              </w:rPr>
            </w:pPr>
            <w:r w:rsidRPr="00BD2435">
              <w:rPr>
                <w:color w:val="000000" w:themeColor="text1"/>
              </w:rPr>
              <w:t>Feb</w:t>
            </w:r>
          </w:p>
        </w:tc>
        <w:tc>
          <w:tcPr>
            <w:tcW w:w="877" w:type="dxa"/>
          </w:tcPr>
          <w:p w14:paraId="76602D04" w14:textId="77777777" w:rsidR="00371C79" w:rsidRPr="00BD2435" w:rsidRDefault="00371C79" w:rsidP="00032A86">
            <w:pPr>
              <w:spacing w:line="480" w:lineRule="auto"/>
              <w:rPr>
                <w:color w:val="000000" w:themeColor="text1"/>
              </w:rPr>
            </w:pPr>
            <w:r w:rsidRPr="00BD2435">
              <w:rPr>
                <w:color w:val="000000" w:themeColor="text1"/>
              </w:rPr>
              <w:t>March</w:t>
            </w:r>
          </w:p>
        </w:tc>
        <w:tc>
          <w:tcPr>
            <w:tcW w:w="791" w:type="dxa"/>
          </w:tcPr>
          <w:p w14:paraId="62ABF1C1"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79666A54"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7F141C2F" w14:textId="77777777" w:rsidTr="00032A86">
        <w:trPr>
          <w:trHeight w:val="596"/>
        </w:trPr>
        <w:tc>
          <w:tcPr>
            <w:tcW w:w="884" w:type="dxa"/>
          </w:tcPr>
          <w:p w14:paraId="4046E07D" w14:textId="77777777" w:rsidR="00371C79" w:rsidRPr="00BD2435" w:rsidRDefault="00371C79" w:rsidP="00032A86">
            <w:pPr>
              <w:spacing w:line="480" w:lineRule="auto"/>
              <w:rPr>
                <w:color w:val="000000" w:themeColor="text1"/>
              </w:rPr>
            </w:pPr>
            <w:r w:rsidRPr="00BD2435">
              <w:rPr>
                <w:color w:val="000000" w:themeColor="text1"/>
              </w:rPr>
              <w:t>Comps</w:t>
            </w:r>
          </w:p>
        </w:tc>
        <w:tc>
          <w:tcPr>
            <w:tcW w:w="4831" w:type="dxa"/>
            <w:gridSpan w:val="6"/>
          </w:tcPr>
          <w:p w14:paraId="7A1EF95E" w14:textId="77777777" w:rsidR="00371C79" w:rsidRPr="00BD2435" w:rsidRDefault="00371C79" w:rsidP="00032A86">
            <w:pPr>
              <w:spacing w:line="480" w:lineRule="auto"/>
              <w:rPr>
                <w:color w:val="000000" w:themeColor="text1"/>
              </w:rPr>
            </w:pPr>
            <w:r w:rsidRPr="00BD2435">
              <w:rPr>
                <w:color w:val="000000" w:themeColor="text1"/>
              </w:rPr>
              <w:t>Data Analysis: conduct for Upland site</w:t>
            </w:r>
          </w:p>
        </w:tc>
        <w:tc>
          <w:tcPr>
            <w:tcW w:w="3635" w:type="dxa"/>
            <w:gridSpan w:val="5"/>
          </w:tcPr>
          <w:p w14:paraId="115182D0" w14:textId="77777777" w:rsidR="00371C79" w:rsidRPr="00BD2435" w:rsidRDefault="00371C79" w:rsidP="00032A86">
            <w:pPr>
              <w:spacing w:line="480" w:lineRule="auto"/>
              <w:rPr>
                <w:color w:val="000000" w:themeColor="text1"/>
              </w:rPr>
            </w:pPr>
            <w:r w:rsidRPr="00BD2435">
              <w:rPr>
                <w:color w:val="000000" w:themeColor="text1"/>
              </w:rPr>
              <w:t>Writing: draft introduction, methods, upland results</w:t>
            </w:r>
          </w:p>
        </w:tc>
      </w:tr>
    </w:tbl>
    <w:p w14:paraId="418A20E0" w14:textId="77777777" w:rsidR="00371C79" w:rsidRPr="00BD2435" w:rsidRDefault="00371C79" w:rsidP="00371C79">
      <w:pPr>
        <w:spacing w:line="480" w:lineRule="auto"/>
        <w:rPr>
          <w:b/>
          <w:bCs/>
          <w:color w:val="000000" w:themeColor="text1"/>
        </w:rPr>
      </w:pPr>
    </w:p>
    <w:p w14:paraId="082E6860" w14:textId="77777777" w:rsidR="00B71C37" w:rsidRDefault="00B71C37"/>
    <w:sectPr w:rsidR="00B71C37" w:rsidSect="00920D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yes, Katherine" w:date="2021-06-10T15:30:00Z" w:initials="HK">
    <w:p w14:paraId="373AE62D" w14:textId="77777777" w:rsidR="005C4BC8" w:rsidRDefault="005C4BC8" w:rsidP="005C4BC8">
      <w:pPr>
        <w:pStyle w:val="CommentText"/>
      </w:pPr>
      <w:r>
        <w:rPr>
          <w:rStyle w:val="CommentReference"/>
        </w:rPr>
        <w:annotationRef/>
      </w:r>
      <w:r>
        <w:t>Not sure about this point anymore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AE6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AE96" w16cex:dateUtc="2021-06-10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AE62D" w16cid:durableId="246CAE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H427C196R487O211"/>
    <w:docVar w:name="paperpile-doc-name" w:val="community_cuts.docx"/>
  </w:docVars>
  <w:rsids>
    <w:rsidRoot w:val="00371C79"/>
    <w:rsid w:val="000405E3"/>
    <w:rsid w:val="00371C79"/>
    <w:rsid w:val="005C4BC8"/>
    <w:rsid w:val="00920D1E"/>
    <w:rsid w:val="00B71C37"/>
    <w:rsid w:val="00C61D5F"/>
    <w:rsid w:val="00CA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985C0"/>
  <w15:chartTrackingRefBased/>
  <w15:docId w15:val="{092010F2-815A-9E49-A953-0E68197D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C79"/>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71C7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4">
    <w:name w:val="heading 4"/>
    <w:basedOn w:val="Normal"/>
    <w:next w:val="Normal"/>
    <w:link w:val="Heading4Char"/>
    <w:uiPriority w:val="9"/>
    <w:semiHidden/>
    <w:unhideWhenUsed/>
    <w:qFormat/>
    <w:rsid w:val="00C61D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C79"/>
    <w:rPr>
      <w:rFonts w:asciiTheme="majorHAnsi" w:eastAsiaTheme="majorEastAsia" w:hAnsiTheme="majorHAnsi" w:cstheme="majorBidi"/>
      <w:b/>
      <w:color w:val="000000" w:themeColor="text1"/>
      <w:sz w:val="26"/>
      <w:szCs w:val="26"/>
    </w:rPr>
  </w:style>
  <w:style w:type="table" w:styleId="TableGrid">
    <w:name w:val="Table Grid"/>
    <w:basedOn w:val="TableNormal"/>
    <w:uiPriority w:val="39"/>
    <w:rsid w:val="00371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4BC8"/>
    <w:rPr>
      <w:sz w:val="16"/>
      <w:szCs w:val="16"/>
    </w:rPr>
  </w:style>
  <w:style w:type="paragraph" w:styleId="CommentText">
    <w:name w:val="annotation text"/>
    <w:basedOn w:val="Normal"/>
    <w:link w:val="CommentTextChar"/>
    <w:uiPriority w:val="99"/>
    <w:semiHidden/>
    <w:unhideWhenUsed/>
    <w:rsid w:val="005C4BC8"/>
    <w:rPr>
      <w:sz w:val="20"/>
      <w:szCs w:val="20"/>
    </w:rPr>
  </w:style>
  <w:style w:type="character" w:customStyle="1" w:styleId="CommentTextChar">
    <w:name w:val="Comment Text Char"/>
    <w:basedOn w:val="DefaultParagraphFont"/>
    <w:link w:val="CommentText"/>
    <w:uiPriority w:val="99"/>
    <w:semiHidden/>
    <w:rsid w:val="005C4BC8"/>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semiHidden/>
    <w:rsid w:val="00C61D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4</cp:revision>
  <dcterms:created xsi:type="dcterms:W3CDTF">2021-04-21T22:14:00Z</dcterms:created>
  <dcterms:modified xsi:type="dcterms:W3CDTF">2021-07-20T19:24:00Z</dcterms:modified>
</cp:coreProperties>
</file>