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6FF2" w:rsidRPr="00D32FE5" w:rsidRDefault="00692E92" w:rsidP="00D32FE5">
      <w:pPr>
        <w:pStyle w:val="Subtitle"/>
        <w:rPr>
          <w:rFonts w:ascii="Times New Roman" w:eastAsia="Times New Roman" w:hAnsi="Times New Roman" w:cs="Times New Roman"/>
          <w:b/>
          <w:color w:val="000000" w:themeColor="text1"/>
          <w:sz w:val="24"/>
          <w:szCs w:val="24"/>
        </w:rPr>
      </w:pPr>
      <w:r w:rsidRPr="00D32FE5">
        <w:rPr>
          <w:rStyle w:val="Heading2Char"/>
        </w:rPr>
        <w:t>Title:</w:t>
      </w:r>
      <w:r w:rsidRPr="00D32FE5">
        <w:rPr>
          <w:rFonts w:ascii="Times New Roman" w:eastAsia="Times New Roman" w:hAnsi="Times New Roman" w:cs="Times New Roman"/>
          <w:b/>
          <w:color w:val="000000" w:themeColor="text1"/>
          <w:sz w:val="24"/>
          <w:szCs w:val="24"/>
        </w:rPr>
        <w:t xml:space="preserve"> </w:t>
      </w:r>
      <w:r w:rsidRPr="00D32FE5">
        <w:rPr>
          <w:rFonts w:ascii="Times New Roman" w:eastAsia="Times New Roman" w:hAnsi="Times New Roman" w:cs="Times New Roman"/>
          <w:color w:val="000000" w:themeColor="text1"/>
          <w:sz w:val="24"/>
          <w:szCs w:val="24"/>
        </w:rPr>
        <w:t>The effect of multiple short interval fires on community and functional trait-based regeneration in boreal Alaska</w:t>
      </w:r>
    </w:p>
    <w:p w14:paraId="00000002" w14:textId="61E2D17A" w:rsidR="00CD6FF2" w:rsidRDefault="00692E92" w:rsidP="00741952">
      <w:pPr>
        <w:pStyle w:val="Heading2"/>
        <w:rPr>
          <w:color w:val="000000"/>
        </w:rPr>
      </w:pPr>
      <w:r w:rsidRPr="00741952">
        <w:t>Abstract</w:t>
      </w:r>
      <w:r w:rsidR="00741952" w:rsidRPr="00741952">
        <w:t>:</w:t>
      </w:r>
    </w:p>
    <w:p w14:paraId="00000003" w14:textId="629E0FAE" w:rsidR="00CD6FF2" w:rsidRDefault="00692E92">
      <w:pPr>
        <w:spacing w:line="480" w:lineRule="auto"/>
        <w:rPr>
          <w:color w:val="000000"/>
        </w:rPr>
      </w:pPr>
      <w:r>
        <w:rPr>
          <w:color w:val="000000"/>
        </w:rPr>
        <w:t xml:space="preserve">Fire is a major driver of forest structure, </w:t>
      </w:r>
      <w:r w:rsidR="006B518C">
        <w:rPr>
          <w:color w:val="000000"/>
        </w:rPr>
        <w:t>composition,</w:t>
      </w:r>
      <w:r>
        <w:rPr>
          <w:color w:val="000000"/>
        </w:rPr>
        <w:t xml:space="preserve">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w:t>
      </w:r>
      <w:r w:rsidR="00860A55">
        <w:rPr>
          <w:color w:val="000000"/>
        </w:rPr>
        <w:t>The impact of</w:t>
      </w:r>
      <w:r>
        <w:rPr>
          <w:color w:val="000000"/>
        </w:rPr>
        <w:t xml:space="preserve"> </w:t>
      </w:r>
      <w:proofErr w:type="gramStart"/>
      <w:r>
        <w:rPr>
          <w:color w:val="000000"/>
        </w:rPr>
        <w:t>short-interval</w:t>
      </w:r>
      <w:proofErr w:type="gramEnd"/>
      <w:r>
        <w:rPr>
          <w:color w:val="000000"/>
        </w:rPr>
        <w:t xml:space="preserve"> reburning</w:t>
      </w:r>
      <w:r w:rsidR="00860A55">
        <w:rPr>
          <w:color w:val="000000"/>
        </w:rPr>
        <w:t xml:space="preserve"> and its subsequent effects on overstory composition and structure on understory plant communities remains unknown</w:t>
      </w:r>
      <w:r>
        <w:rPr>
          <w:color w:val="000000"/>
        </w:rPr>
        <w:t xml:space="preserve">. Here, we investigate how multiple short-interval fires alter </w:t>
      </w:r>
      <w:r w:rsidR="00860A55">
        <w:rPr>
          <w:color w:val="000000"/>
        </w:rPr>
        <w:t>understory plant communities via changes in stand structure and light availability</w:t>
      </w:r>
      <w:r>
        <w:rPr>
          <w:color w:val="000000"/>
        </w:rPr>
        <w:t xml:space="preserve"> in two sites of regenerating </w:t>
      </w:r>
      <w:r w:rsidR="00860A55">
        <w:rPr>
          <w:color w:val="000000"/>
        </w:rPr>
        <w:t xml:space="preserve">reburned </w:t>
      </w:r>
      <w:r>
        <w:rPr>
          <w:color w:val="000000"/>
        </w:rPr>
        <w:t xml:space="preserve">stands in boreal Interior Alaska. Each site contains a mosaic of burn perimeters from fires </w:t>
      </w:r>
      <w:r w:rsidR="00860A55">
        <w:rPr>
          <w:color w:val="000000"/>
        </w:rPr>
        <w:t xml:space="preserve">that </w:t>
      </w:r>
      <w:proofErr w:type="spellStart"/>
      <w:r w:rsidR="00860A55">
        <w:rPr>
          <w:color w:val="000000"/>
        </w:rPr>
        <w:t>occured</w:t>
      </w:r>
      <w:proofErr w:type="spellEnd"/>
      <w:r>
        <w:rPr>
          <w:color w:val="000000"/>
        </w:rPr>
        <w:t xml:space="preserve"> once, twice or three times in </w:t>
      </w:r>
      <w:proofErr w:type="gramStart"/>
      <w:r>
        <w:rPr>
          <w:color w:val="000000"/>
        </w:rPr>
        <w:t>short-intervals</w:t>
      </w:r>
      <w:proofErr w:type="gramEnd"/>
      <w:r>
        <w:rPr>
          <w:color w:val="000000"/>
        </w:rPr>
        <w:t xml:space="preserve"> (&gt;30 years). We report </w:t>
      </w:r>
      <w:r w:rsidR="00860A55">
        <w:rPr>
          <w:color w:val="000000"/>
        </w:rPr>
        <w:t xml:space="preserve">ono </w:t>
      </w:r>
      <w:r>
        <w:rPr>
          <w:color w:val="000000"/>
        </w:rPr>
        <w:t xml:space="preserve">understory community composition, overall species richness and differences in </w:t>
      </w:r>
      <w:r w:rsidR="00860A55">
        <w:rPr>
          <w:color w:val="000000"/>
        </w:rPr>
        <w:t>functional traits in reburned stands</w:t>
      </w:r>
      <w:r>
        <w:rPr>
          <w:color w:val="000000"/>
        </w:rPr>
        <w:t xml:space="preserve"> and examine the role of </w:t>
      </w:r>
      <w:r w:rsidR="00860A55">
        <w:rPr>
          <w:color w:val="000000"/>
        </w:rPr>
        <w:t>canopy structure and light availability</w:t>
      </w:r>
      <w:r>
        <w:rPr>
          <w:color w:val="000000"/>
        </w:rPr>
        <w:t xml:space="preserve"> in mediating </w:t>
      </w:r>
      <w:r w:rsidR="00860A55">
        <w:rPr>
          <w:color w:val="000000"/>
        </w:rPr>
        <w:t xml:space="preserve">or accelerating </w:t>
      </w:r>
      <w:r>
        <w:rPr>
          <w:color w:val="000000"/>
        </w:rPr>
        <w:t>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00000004" w14:textId="77777777" w:rsidR="00CD6FF2" w:rsidRDefault="00CD6FF2">
      <w:pPr>
        <w:spacing w:line="480" w:lineRule="auto"/>
        <w:rPr>
          <w:color w:val="000000"/>
        </w:rPr>
      </w:pPr>
    </w:p>
    <w:p w14:paraId="00000005" w14:textId="77777777" w:rsidR="00CD6FF2" w:rsidRDefault="00692E92">
      <w:pPr>
        <w:pStyle w:val="Heading2"/>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Introduction</w:t>
      </w:r>
    </w:p>
    <w:p w14:paraId="51A91C13" w14:textId="292AC661" w:rsidR="000569CD" w:rsidRDefault="00C91B4D" w:rsidP="000569CD">
      <w:pPr>
        <w:spacing w:line="480" w:lineRule="auto"/>
        <w:rPr>
          <w:color w:val="000000"/>
        </w:rPr>
      </w:pPr>
      <w:r>
        <w:rPr>
          <w:color w:val="000000"/>
        </w:rPr>
        <w:t>The boreal ecoregion is the largest forest ecosystem on the planet (</w:t>
      </w:r>
      <w:proofErr w:type="spellStart"/>
      <w:r>
        <w:rPr>
          <w:color w:val="000000"/>
        </w:rPr>
        <w:t>Kuusela</w:t>
      </w:r>
      <w:proofErr w:type="spellEnd"/>
      <w:r>
        <w:rPr>
          <w:color w:val="000000"/>
        </w:rPr>
        <w:t xml:space="preserve"> 1992</w:t>
      </w:r>
      <w:proofErr w:type="gramStart"/>
      <w:r>
        <w:rPr>
          <w:color w:val="000000"/>
        </w:rPr>
        <w:t>), but</w:t>
      </w:r>
      <w:proofErr w:type="gramEnd"/>
      <w:r>
        <w:rPr>
          <w:color w:val="000000"/>
        </w:rPr>
        <w:t xml:space="preserve"> contains relatively low vegetation diversity (Hart and Chen 2006). </w:t>
      </w:r>
      <w:r w:rsidR="00860A55">
        <w:rPr>
          <w:color w:val="000000"/>
        </w:rPr>
        <w:t xml:space="preserve">Understory plant communities in the boreal ecoregion are the primary source of plant diversity and act as </w:t>
      </w:r>
      <w:r>
        <w:rPr>
          <w:color w:val="000000"/>
        </w:rPr>
        <w:t xml:space="preserve">a </w:t>
      </w:r>
      <w:r w:rsidR="00860A55">
        <w:rPr>
          <w:color w:val="000000"/>
        </w:rPr>
        <w:t>major forest ecosystem driver (</w:t>
      </w:r>
      <w:r>
        <w:rPr>
          <w:color w:val="000000"/>
        </w:rPr>
        <w:t>Nilsson and Wardle 2005</w:t>
      </w:r>
      <w:r w:rsidR="00860A55">
        <w:rPr>
          <w:color w:val="000000"/>
        </w:rPr>
        <w:t xml:space="preserve">), shaping nutrient </w:t>
      </w:r>
      <w:r>
        <w:rPr>
          <w:color w:val="000000"/>
        </w:rPr>
        <w:t>cycling (</w:t>
      </w:r>
      <w:proofErr w:type="spellStart"/>
      <w:r>
        <w:rPr>
          <w:color w:val="000000"/>
        </w:rPr>
        <w:t>Webr</w:t>
      </w:r>
      <w:proofErr w:type="spellEnd"/>
      <w:r>
        <w:rPr>
          <w:color w:val="000000"/>
        </w:rPr>
        <w:t xml:space="preserve"> and </w:t>
      </w:r>
      <w:proofErr w:type="spellStart"/>
      <w:r>
        <w:rPr>
          <w:color w:val="000000"/>
        </w:rPr>
        <w:t>Vancleve</w:t>
      </w:r>
      <w:proofErr w:type="spellEnd"/>
      <w:r>
        <w:rPr>
          <w:color w:val="000000"/>
        </w:rPr>
        <w:t xml:space="preserve"> 1981, </w:t>
      </w:r>
      <w:proofErr w:type="spellStart"/>
      <w:r>
        <w:rPr>
          <w:color w:val="000000"/>
        </w:rPr>
        <w:t>Brumelis</w:t>
      </w:r>
      <w:proofErr w:type="spellEnd"/>
      <w:r>
        <w:rPr>
          <w:color w:val="000000"/>
        </w:rPr>
        <w:t xml:space="preserve"> </w:t>
      </w:r>
      <w:r>
        <w:rPr>
          <w:color w:val="000000"/>
        </w:rPr>
        <w:lastRenderedPageBreak/>
        <w:t>and Carleton 1989)</w:t>
      </w:r>
      <w:r w:rsidR="00860A55">
        <w:rPr>
          <w:color w:val="000000"/>
        </w:rPr>
        <w:t xml:space="preserve">, wildlife </w:t>
      </w:r>
      <w:r>
        <w:rPr>
          <w:color w:val="000000"/>
        </w:rPr>
        <w:t>(Gunnarsson et al. 204)</w:t>
      </w:r>
      <w:r w:rsidR="00860A55">
        <w:rPr>
          <w:color w:val="000000"/>
        </w:rPr>
        <w:t xml:space="preserve"> and longer-term</w:t>
      </w:r>
      <w:r>
        <w:rPr>
          <w:color w:val="000000"/>
        </w:rPr>
        <w:t xml:space="preserve"> canopy</w:t>
      </w:r>
      <w:r w:rsidR="00860A55">
        <w:rPr>
          <w:color w:val="000000"/>
        </w:rPr>
        <w:t xml:space="preserve"> succession trends (</w:t>
      </w:r>
      <w:r>
        <w:rPr>
          <w:color w:val="000000"/>
        </w:rPr>
        <w:t>Messier et al. 1998</w:t>
      </w:r>
      <w:r w:rsidR="00860A55">
        <w:rPr>
          <w:color w:val="000000"/>
        </w:rPr>
        <w:t xml:space="preserve">). </w:t>
      </w:r>
      <w:r>
        <w:rPr>
          <w:color w:val="000000"/>
        </w:rPr>
        <w:t xml:space="preserve">Despite their role in long-term forest dynamics, understory plant communities in the boreal remain less understood than their overstory counterparts, particularly in the context of recent shifts in modern fire regimes across the boreal. </w:t>
      </w:r>
      <w:r>
        <w:rPr>
          <w:color w:val="000000"/>
        </w:rPr>
        <w:t xml:space="preserve">Rapidly warming temperatures across high latitudes have led to an increase in the frequency and severity of </w:t>
      </w:r>
      <w:r>
        <w:rPr>
          <w:color w:val="000000"/>
        </w:rPr>
        <w:t xml:space="preserve">boreal </w:t>
      </w:r>
      <w:r>
        <w:rPr>
          <w:color w:val="000000"/>
        </w:rPr>
        <w:t>wildfires (</w:t>
      </w:r>
      <w:proofErr w:type="spellStart"/>
      <w:r>
        <w:rPr>
          <w:color w:val="000000"/>
        </w:rPr>
        <w:t>Balshi</w:t>
      </w:r>
      <w:proofErr w:type="spellEnd"/>
      <w:r>
        <w:rPr>
          <w:color w:val="000000"/>
        </w:rPr>
        <w:t xml:space="preserve"> et al. 2009), amplifying short-interval fires across the region (</w:t>
      </w:r>
      <w:proofErr w:type="spellStart"/>
      <w:r>
        <w:rPr>
          <w:color w:val="000000"/>
        </w:rPr>
        <w:t>Buma</w:t>
      </w:r>
      <w:proofErr w:type="spellEnd"/>
      <w:r>
        <w:rPr>
          <w:color w:val="000000"/>
        </w:rPr>
        <w:t xml:space="preserve"> et al. 2021, </w:t>
      </w:r>
      <w:r>
        <w:rPr>
          <w:i/>
          <w:color w:val="000000"/>
        </w:rPr>
        <w:t>in prep</w:t>
      </w:r>
      <w:r>
        <w:rPr>
          <w:color w:val="000000"/>
        </w:rPr>
        <w:t xml:space="preserve">). </w:t>
      </w:r>
      <w:sdt>
        <w:sdtPr>
          <w:tag w:val="goog_rdk_0"/>
          <w:id w:val="-1401746567"/>
        </w:sdtPr>
        <w:sdtContent/>
      </w:sdt>
      <w:r>
        <w:rPr>
          <w:color w:val="000000"/>
        </w:rPr>
        <w:t xml:space="preserve">Fire in the boreal is strongly linked to patterns of community composition and plant functional traits, but the </w:t>
      </w:r>
      <w:r>
        <w:rPr>
          <w:color w:val="000000"/>
        </w:rPr>
        <w:t xml:space="preserve">impact </w:t>
      </w:r>
      <w:r>
        <w:rPr>
          <w:color w:val="000000"/>
        </w:rPr>
        <w:t xml:space="preserve">of </w:t>
      </w:r>
      <w:r>
        <w:rPr>
          <w:color w:val="000000"/>
        </w:rPr>
        <w:t xml:space="preserve">increased </w:t>
      </w:r>
      <w:r>
        <w:rPr>
          <w:color w:val="000000"/>
        </w:rPr>
        <w:t xml:space="preserve">fire frequency </w:t>
      </w:r>
      <w:r>
        <w:rPr>
          <w:color w:val="000000"/>
        </w:rPr>
        <w:t>on</w:t>
      </w:r>
      <w:r>
        <w:rPr>
          <w:color w:val="000000"/>
        </w:rPr>
        <w:t xml:space="preserve"> </w:t>
      </w:r>
      <w:r>
        <w:rPr>
          <w:color w:val="000000"/>
        </w:rPr>
        <w:t xml:space="preserve">understory plant </w:t>
      </w:r>
      <w:r>
        <w:rPr>
          <w:color w:val="000000"/>
        </w:rPr>
        <w:t>community dynamics remains unclear (Whitman et al. 2018).</w:t>
      </w:r>
    </w:p>
    <w:p w14:paraId="56C71F53" w14:textId="77777777" w:rsidR="00C91B4D" w:rsidRDefault="00C91B4D" w:rsidP="000569CD">
      <w:pPr>
        <w:spacing w:line="480" w:lineRule="auto"/>
        <w:rPr>
          <w:color w:val="000000"/>
        </w:rPr>
      </w:pPr>
    </w:p>
    <w:p w14:paraId="3B2F829D" w14:textId="55F52C39" w:rsidR="000569CD" w:rsidRDefault="000569CD" w:rsidP="000569CD">
      <w:pPr>
        <w:spacing w:line="480" w:lineRule="auto"/>
        <w:rPr>
          <w:color w:val="000000"/>
        </w:rPr>
      </w:pPr>
      <w:r>
        <w:rPr>
          <w:color w:val="000000"/>
        </w:rPr>
        <w:t>Fires alter understory plant community composition by altering canopy cover which mediates understory microclimates (Hart and Chen 2006, Ma et al. 2010).</w:t>
      </w:r>
      <w:r w:rsidR="00FB270C">
        <w:rPr>
          <w:color w:val="000000"/>
        </w:rPr>
        <w:t xml:space="preserve"> </w:t>
      </w:r>
      <w:r w:rsidR="00FB270C" w:rsidRPr="00FB270C">
        <w:rPr>
          <w:color w:val="FF0000"/>
        </w:rPr>
        <w:t>[lots more to add]</w:t>
      </w:r>
    </w:p>
    <w:p w14:paraId="0C893369" w14:textId="77777777" w:rsidR="00D32FE5" w:rsidRDefault="00D32FE5">
      <w:pPr>
        <w:spacing w:line="480" w:lineRule="auto"/>
        <w:rPr>
          <w:color w:val="000000"/>
        </w:rPr>
      </w:pPr>
    </w:p>
    <w:p w14:paraId="00000009" w14:textId="28546B42" w:rsidR="00CD6FF2" w:rsidRDefault="00692E92">
      <w:pPr>
        <w:spacing w:line="480" w:lineRule="auto"/>
        <w:rPr>
          <w:color w:val="000000"/>
        </w:rPr>
      </w:pPr>
      <w:r>
        <w:rPr>
          <w:color w:val="000000"/>
        </w:rPr>
        <w:t xml:space="preserve">To better understand the effects of multiple-short interval fires on ecosystem processes of modern boreal forest systems, it is necessary to 1) characterize the structure, composition, and functional traits of regenerating understory </w:t>
      </w:r>
      <w:r w:rsidR="00FB270C">
        <w:rPr>
          <w:color w:val="000000"/>
        </w:rPr>
        <w:t xml:space="preserve">plant </w:t>
      </w:r>
      <w:r>
        <w:rPr>
          <w:color w:val="000000"/>
        </w:rPr>
        <w:t xml:space="preserve">communities in reburned areas and 2) determine whether reburned areas support understory plant communities that differ significantly from similar communities regenerating in </w:t>
      </w:r>
      <w:sdt>
        <w:sdtPr>
          <w:tag w:val="goog_rdk_1"/>
          <w:id w:val="-355727683"/>
        </w:sdtPr>
        <w:sdtEndPr/>
        <w:sdtContent>
          <w:commentRangeStart w:id="1"/>
        </w:sdtContent>
      </w:sdt>
      <w:r>
        <w:rPr>
          <w:color w:val="000000"/>
        </w:rPr>
        <w:t>regions with different fire histories</w:t>
      </w:r>
      <w:commentRangeEnd w:id="1"/>
      <w:r>
        <w:commentReference w:id="1"/>
      </w:r>
      <w:r>
        <w:rPr>
          <w:color w:val="000000"/>
        </w:rPr>
        <w:t>. Examining the success of specific functional traits within given community assemblages occurring after multiple short-interval fires builds a mechanistic understanding of the drivers of successional divergence in boreal Interior Alaska. Here, we investigate community regeneration in two reburned stands with comparable burn histories (1, 2 or 3 fires in &lt;30 years)</w:t>
      </w:r>
      <w:r w:rsidR="00FB270C">
        <w:rPr>
          <w:color w:val="000000"/>
        </w:rPr>
        <w:t>.</w:t>
      </w:r>
    </w:p>
    <w:p w14:paraId="0000000A" w14:textId="77777777" w:rsidR="00CD6FF2" w:rsidRDefault="00CD6FF2">
      <w:pPr>
        <w:spacing w:line="480" w:lineRule="auto"/>
        <w:rPr>
          <w:color w:val="000000"/>
        </w:rPr>
      </w:pPr>
    </w:p>
    <w:p w14:paraId="00000012" w14:textId="77777777" w:rsidR="00CD6FF2" w:rsidRDefault="00CD6FF2">
      <w:pPr>
        <w:spacing w:line="480" w:lineRule="auto"/>
        <w:rPr>
          <w:color w:val="000000"/>
        </w:rPr>
      </w:pPr>
    </w:p>
    <w:p w14:paraId="00000013" w14:textId="3C18D022" w:rsidR="00CD6FF2" w:rsidRDefault="00692E92" w:rsidP="00FB270C">
      <w:pPr>
        <w:spacing w:line="480" w:lineRule="auto"/>
        <w:ind w:firstLine="720"/>
        <w:rPr>
          <w:color w:val="000000"/>
        </w:rPr>
      </w:pPr>
      <w:r>
        <w:rPr>
          <w:color w:val="000000"/>
        </w:rPr>
        <w:t xml:space="preserve">This study evaluates patterns of </w:t>
      </w:r>
      <w:r w:rsidR="00FB270C">
        <w:rPr>
          <w:color w:val="000000"/>
        </w:rPr>
        <w:t xml:space="preserve">understory </w:t>
      </w:r>
      <w:r>
        <w:rPr>
          <w:color w:val="000000"/>
        </w:rPr>
        <w:t xml:space="preserve">plant community and functional trait regeneration across a gradient of reburns to investigate post-fire community regeneration and successional trends following multiple short-interval fires. To characterize community structure and drivers of that community structure, we compare understory plant species diversity, understory community composition and abundance of regeneration traits across varying fire histories and between two topographic positions with differing </w:t>
      </w:r>
      <w:r w:rsidR="00FB270C">
        <w:rPr>
          <w:color w:val="000000"/>
        </w:rPr>
        <w:t>regenerating canopy composition and structures</w:t>
      </w:r>
      <w:r>
        <w:rPr>
          <w:color w:val="000000"/>
        </w:rPr>
        <w:t xml:space="preserve">. We ask the following research questions: </w:t>
      </w:r>
      <w:r w:rsidR="006B518C">
        <w:rPr>
          <w:color w:val="000000"/>
        </w:rPr>
        <w:t>1</w:t>
      </w:r>
      <w:r>
        <w:rPr>
          <w:color w:val="000000"/>
        </w:rPr>
        <w:t>)</w:t>
      </w:r>
      <w:r w:rsidR="00FB270C">
        <w:rPr>
          <w:color w:val="000000"/>
        </w:rPr>
        <w:t xml:space="preserve"> what understory plant communities are present in regenerating reburned </w:t>
      </w:r>
      <w:proofErr w:type="gramStart"/>
      <w:r w:rsidR="00FB270C">
        <w:rPr>
          <w:color w:val="000000"/>
        </w:rPr>
        <w:t>stands?,</w:t>
      </w:r>
      <w:proofErr w:type="gramEnd"/>
      <w:r w:rsidR="00FB270C">
        <w:rPr>
          <w:color w:val="000000"/>
        </w:rPr>
        <w:t xml:space="preserve"> and </w:t>
      </w:r>
      <w:r w:rsidR="000A22A6">
        <w:rPr>
          <w:color w:val="000000"/>
        </w:rPr>
        <w:t>2</w:t>
      </w:r>
      <w:r w:rsidR="00FB270C">
        <w:rPr>
          <w:color w:val="000000"/>
        </w:rPr>
        <w:t xml:space="preserve">) </w:t>
      </w:r>
      <w:r>
        <w:rPr>
          <w:color w:val="000000"/>
        </w:rPr>
        <w:t xml:space="preserve">Does </w:t>
      </w:r>
      <w:r w:rsidR="00FB270C">
        <w:rPr>
          <w:color w:val="000000"/>
        </w:rPr>
        <w:t xml:space="preserve">light availability, canopy structure or composition </w:t>
      </w:r>
      <w:r w:rsidR="000A22A6">
        <w:rPr>
          <w:color w:val="000000"/>
        </w:rPr>
        <w:t xml:space="preserve">interact with fire history to </w:t>
      </w:r>
      <w:r w:rsidR="00FB270C">
        <w:rPr>
          <w:color w:val="000000"/>
        </w:rPr>
        <w:t xml:space="preserve">alter </w:t>
      </w:r>
      <w:r>
        <w:rPr>
          <w:color w:val="000000"/>
        </w:rPr>
        <w:t>overall diversity, community evenness and richness in reburned stand</w:t>
      </w:r>
      <w:r w:rsidR="00FB270C">
        <w:rPr>
          <w:color w:val="000000"/>
        </w:rPr>
        <w:t xml:space="preserve">s? We </w:t>
      </w:r>
      <w:r>
        <w:rPr>
          <w:color w:val="000000"/>
        </w:rPr>
        <w:t xml:space="preserve">hypothesize that fire history will have the largest effect on diversity in reburned stands, overwhelming the effects of site conditions like canopy openness, topography, and solar radiation. Furthermore, we anticipate that single fires or reburns may lead to an initial increase in diversity in understory plant communities, but that communities will become less diverse with additional reburning, regardless of </w:t>
      </w:r>
      <w:r w:rsidR="006B518C">
        <w:rPr>
          <w:color w:val="000000"/>
        </w:rPr>
        <w:t>location</w:t>
      </w:r>
      <w:r>
        <w:rPr>
          <w:color w:val="000000"/>
        </w:rPr>
        <w:t xml:space="preserve">. Finally, we hypothesize understory communities emerging in reburned stands will become more dissimilar to communities regenerating after single fires, and that communities will continue to become more dissimilar with additional reburns, </w:t>
      </w:r>
      <w:r w:rsidR="006B518C">
        <w:rPr>
          <w:color w:val="000000"/>
        </w:rPr>
        <w:t xml:space="preserve">independent </w:t>
      </w:r>
      <w:r>
        <w:rPr>
          <w:color w:val="000000"/>
        </w:rPr>
        <w:t xml:space="preserve">of </w:t>
      </w:r>
      <w:r w:rsidR="006B518C">
        <w:rPr>
          <w:color w:val="000000"/>
        </w:rPr>
        <w:t>location</w:t>
      </w:r>
      <w:r>
        <w:rPr>
          <w:color w:val="000000"/>
        </w:rPr>
        <w:t xml:space="preserve">.  </w:t>
      </w:r>
    </w:p>
    <w:p w14:paraId="00000014" w14:textId="77777777" w:rsidR="00CD6FF2" w:rsidRDefault="00CD6FF2">
      <w:pPr>
        <w:pBdr>
          <w:top w:val="nil"/>
          <w:left w:val="nil"/>
          <w:bottom w:val="nil"/>
          <w:right w:val="nil"/>
          <w:between w:val="nil"/>
        </w:pBdr>
        <w:spacing w:line="480" w:lineRule="auto"/>
        <w:ind w:left="720"/>
        <w:rPr>
          <w:color w:val="000000"/>
          <w:sz w:val="22"/>
          <w:szCs w:val="22"/>
        </w:rPr>
      </w:pPr>
    </w:p>
    <w:p w14:paraId="00000015" w14:textId="77777777" w:rsidR="00CD6FF2" w:rsidRDefault="00692E92" w:rsidP="006B518C">
      <w:pPr>
        <w:pStyle w:val="Heading2"/>
      </w:pPr>
      <w:bookmarkStart w:id="2" w:name="_heading=h.1fob9te" w:colFirst="0" w:colLast="0"/>
      <w:bookmarkEnd w:id="2"/>
      <w:r>
        <w:t>Methods</w:t>
      </w:r>
    </w:p>
    <w:p w14:paraId="00000016"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7" w14:textId="5BBD350F" w:rsidR="00CD6FF2" w:rsidRDefault="00692E92">
      <w:pPr>
        <w:spacing w:line="480" w:lineRule="auto"/>
        <w:rPr>
          <w:color w:val="000000"/>
        </w:rPr>
      </w:pPr>
      <w:r>
        <w:rPr>
          <w:color w:val="000000"/>
        </w:rPr>
        <w:t xml:space="preserve">To examine the effects of short-interval disturbances on plant communities, we established a network of 50 plots in two topographic positions in Interior Alaska that contain a mosaic of </w:t>
      </w:r>
      <w:r>
        <w:rPr>
          <w:color w:val="000000"/>
        </w:rPr>
        <w:lastRenderedPageBreak/>
        <w:t xml:space="preserve">unburned, burned and reburned stands. We sampled two locations: an upland region with well-drained soils and a lowland region with flatter topography and poorly drained soils. </w:t>
      </w:r>
    </w:p>
    <w:p w14:paraId="00000018" w14:textId="0CDA01D8" w:rsidR="00CD6FF2" w:rsidRDefault="00CD6FF2">
      <w:pPr>
        <w:spacing w:line="480" w:lineRule="auto"/>
        <w:rPr>
          <w:color w:val="000000"/>
        </w:rPr>
      </w:pPr>
    </w:p>
    <w:p w14:paraId="228578D6" w14:textId="66CE5CC3" w:rsidR="00264E72" w:rsidRPr="00264E72" w:rsidRDefault="00264E72">
      <w:pPr>
        <w:spacing w:line="480" w:lineRule="auto"/>
        <w:rPr>
          <w:color w:val="FF0000"/>
        </w:rPr>
      </w:pPr>
      <w:r w:rsidRPr="00264E72">
        <w:rPr>
          <w:color w:val="FF0000"/>
        </w:rPr>
        <w:t>Figure X. Map of study locations.</w:t>
      </w:r>
    </w:p>
    <w:p w14:paraId="00000019"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A" w14:textId="77777777" w:rsidR="00CD6FF2" w:rsidRDefault="00692E92">
      <w:pPr>
        <w:spacing w:line="480" w:lineRule="auto"/>
        <w:rPr>
          <w:color w:val="000000"/>
        </w:rPr>
      </w:pPr>
      <w:r>
        <w:rPr>
          <w:color w:val="000000"/>
        </w:rPr>
        <w:t>We sampled understory and overstory communities in field campaigns during the summer of 2018, 2019 and 2021. 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w:t>
      </w:r>
      <w:proofErr w:type="gramStart"/>
      <w:r>
        <w:rPr>
          <w:color w:val="000000"/>
        </w:rPr>
        <w:t>each individual</w:t>
      </w:r>
      <w:proofErr w:type="gramEnd"/>
      <w:r>
        <w:rPr>
          <w:color w:val="000000"/>
        </w:rPr>
        <w:t xml:space="preserve"> above DBH, we recorded species, diameter at breast height (cm), canopy health (%) and the dominant corresponding understory species. We recorded seedlings and shrubs 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proofErr w:type="gramStart"/>
      <w:r>
        <w:rPr>
          <w:color w:val="000000"/>
          <w:vertAlign w:val="superscript"/>
        </w:rPr>
        <w:t xml:space="preserve">2 </w:t>
      </w:r>
      <w:r>
        <w:rPr>
          <w:color w:val="000000"/>
        </w:rPr>
        <w:t xml:space="preserve"> sub</w:t>
      </w:r>
      <w:proofErr w:type="gramEnd"/>
      <w:r>
        <w:rPr>
          <w:color w:val="000000"/>
        </w:rPr>
        <w:t>-samples of overstory vegetation and 100 m</w:t>
      </w:r>
      <w:r>
        <w:rPr>
          <w:color w:val="000000"/>
          <w:vertAlign w:val="superscript"/>
        </w:rPr>
        <w:t>2</w:t>
      </w:r>
      <w:r>
        <w:rPr>
          <w:color w:val="000000"/>
        </w:rPr>
        <w:t xml:space="preserve"> of understory vegetation. </w:t>
      </w:r>
    </w:p>
    <w:p w14:paraId="0000001B" w14:textId="77777777" w:rsidR="00CD6FF2" w:rsidRDefault="00CD6FF2">
      <w:pPr>
        <w:spacing w:line="480" w:lineRule="auto"/>
        <w:rPr>
          <w:color w:val="000000"/>
        </w:rPr>
      </w:pPr>
    </w:p>
    <w:p w14:paraId="0000001C" w14:textId="77777777" w:rsidR="00CD6FF2" w:rsidRDefault="00692E92">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 in the upland site, and across 10</w:t>
      </w:r>
      <w:r>
        <w:t xml:space="preserve"> 0.5-meter2 sub samples in the lowland</w:t>
      </w:r>
      <w:r>
        <w:rPr>
          <w:color w:val="000000"/>
        </w:rPr>
        <w:t xml:space="preserve">. Species were identified 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When individuals were unidentifiable to the species level, the genus level was used. Due to difficulties in identifying moss species consistently across plots, we describe all moss data at the genus level. </w:t>
      </w:r>
    </w:p>
    <w:p w14:paraId="0000001F" w14:textId="77777777" w:rsidR="00CD6FF2" w:rsidRDefault="00CD6FF2">
      <w:pPr>
        <w:spacing w:line="480" w:lineRule="auto"/>
        <w:rPr>
          <w:color w:val="000000"/>
        </w:rPr>
      </w:pPr>
    </w:p>
    <w:p w14:paraId="00000020" w14:textId="77777777" w:rsidR="00CD6FF2" w:rsidRDefault="00692E92">
      <w:pPr>
        <w:spacing w:line="480" w:lineRule="auto"/>
        <w:rPr>
          <w:color w:val="000000"/>
        </w:rPr>
      </w:pPr>
      <w:r>
        <w:rPr>
          <w:color w:val="000000"/>
        </w:rPr>
        <w:lastRenderedPageBreak/>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00000021" w14:textId="77777777" w:rsidR="00CD6FF2" w:rsidRDefault="00CD6FF2">
      <w:pPr>
        <w:spacing w:line="480" w:lineRule="auto"/>
        <w:rPr>
          <w:color w:val="000000"/>
        </w:rPr>
      </w:pPr>
    </w:p>
    <w:p w14:paraId="00000022"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Data analysis</w:t>
      </w:r>
    </w:p>
    <w:p w14:paraId="00000023" w14:textId="77777777" w:rsidR="00CD6FF2" w:rsidRDefault="00692E92">
      <w:pPr>
        <w:spacing w:line="480" w:lineRule="auto"/>
        <w:rPr>
          <w:color w:val="000000"/>
        </w:rPr>
      </w:pPr>
      <w:r>
        <w:rPr>
          <w:color w:val="000000"/>
        </w:rPr>
        <w:t>[]</w:t>
      </w:r>
    </w:p>
    <w:p w14:paraId="00000024" w14:textId="31D84781" w:rsidR="00CD6FF2" w:rsidRDefault="00692E92">
      <w:pPr>
        <w:spacing w:line="480" w:lineRule="auto"/>
        <w:rPr>
          <w:color w:val="000000"/>
        </w:rPr>
      </w:pPr>
      <w:r>
        <w:rPr>
          <w:color w:val="000000"/>
        </w:rPr>
        <w:t xml:space="preserve">To examine the specific drivers of community diversity in understories of upland reburned stands, we use multivariate regression models with Simpson’s diversity index as a dependent variable, and number of fires, organic layer depth (as a metric of disturbance severity), solar insolation, slope, and canopy openness as independent variables. Simpson’s index was calculated for upland and </w:t>
      </w:r>
      <w:r>
        <w:t xml:space="preserve">lowland </w:t>
      </w:r>
      <w:r>
        <w:rPr>
          <w:color w:val="000000"/>
        </w:rPr>
        <w:t>plant communities according to reburn history using the ‘vegan’ package in R (</w:t>
      </w:r>
      <w:proofErr w:type="spellStart"/>
      <w:r>
        <w:rPr>
          <w:color w:val="000000"/>
        </w:rPr>
        <w:t>Oskanen</w:t>
      </w:r>
      <w:proofErr w:type="spellEnd"/>
      <w:r>
        <w:rPr>
          <w:color w:val="000000"/>
        </w:rPr>
        <w:t xml:space="preserve"> et al. 2017). This index provides a measure of diversity that </w:t>
      </w:r>
      <w:r w:rsidR="00264E72">
        <w:rPr>
          <w:color w:val="000000"/>
        </w:rPr>
        <w:t>considers</w:t>
      </w:r>
      <w:r>
        <w:rPr>
          <w:color w:val="000000"/>
        </w:rPr>
        <w:t xml:space="preserve"> both species richness and evenness of abundance by measuring the probability that two individuals randomly selected from an area will belong to the same species (</w:t>
      </w:r>
      <w:proofErr w:type="spellStart"/>
      <w:r>
        <w:rPr>
          <w:color w:val="000000"/>
        </w:rPr>
        <w:t>Magurran</w:t>
      </w:r>
      <w:proofErr w:type="spellEnd"/>
      <w:r>
        <w:rPr>
          <w:color w:val="000000"/>
        </w:rPr>
        <w:t xml:space="preserve"> 2013). Simpson’s diversity index was selected over the commonly used Shannon diversity index due to the stability of Simpson’s index at lower sample sizes (</w:t>
      </w:r>
      <w:proofErr w:type="spellStart"/>
      <w:r>
        <w:rPr>
          <w:color w:val="000000"/>
        </w:rPr>
        <w:t>Magurran</w:t>
      </w:r>
      <w:proofErr w:type="spellEnd"/>
      <w:r>
        <w:rPr>
          <w:color w:val="000000"/>
        </w:rPr>
        <w:t xml:space="preserve"> 2013, </w:t>
      </w:r>
      <w:proofErr w:type="spellStart"/>
      <w:r>
        <w:rPr>
          <w:color w:val="000000"/>
        </w:rPr>
        <w:t>Gimaret-Carpentier</w:t>
      </w:r>
      <w:proofErr w:type="spellEnd"/>
      <w:r>
        <w:rPr>
          <w:color w:val="000000"/>
        </w:rPr>
        <w:t xml:space="preserve"> et al. 1998). This model was used to compare the effect sizes and confidence intervals of the </w:t>
      </w:r>
      <w:r w:rsidR="006B518C">
        <w:rPr>
          <w:color w:val="000000"/>
        </w:rPr>
        <w:t>independent</w:t>
      </w:r>
      <w:r>
        <w:rPr>
          <w:color w:val="000000"/>
        </w:rPr>
        <w:t xml:space="preserve"> variables to evaluate the main drivers of diversity between a predefined set of frequency, </w:t>
      </w:r>
      <w:proofErr w:type="gramStart"/>
      <w:r>
        <w:rPr>
          <w:color w:val="000000"/>
        </w:rPr>
        <w:t>severity</w:t>
      </w:r>
      <w:proofErr w:type="gramEnd"/>
      <w:r>
        <w:rPr>
          <w:color w:val="000000"/>
        </w:rPr>
        <w:t xml:space="preserve"> and topographic characteristics. </w:t>
      </w:r>
    </w:p>
    <w:p w14:paraId="00000025" w14:textId="77777777" w:rsidR="00CD6FF2" w:rsidRDefault="00CD6FF2">
      <w:pPr>
        <w:spacing w:line="480" w:lineRule="auto"/>
        <w:rPr>
          <w:color w:val="000000"/>
        </w:rPr>
      </w:pPr>
    </w:p>
    <w:p w14:paraId="00000026" w14:textId="77777777" w:rsidR="00CD6FF2" w:rsidRDefault="00692E92">
      <w:pPr>
        <w:spacing w:line="480" w:lineRule="auto"/>
        <w:rPr>
          <w:color w:val="000000"/>
        </w:rPr>
      </w:pPr>
      <w:r>
        <w:rPr>
          <w:color w:val="000000"/>
        </w:rPr>
        <w:t xml:space="preserve">To evaluate how plant communities in reburned stands differ according to reburn history or topographic context, we used presence/absence data of individual species to calculate Jaccard’s </w:t>
      </w:r>
      <w:r>
        <w:rPr>
          <w:color w:val="000000"/>
        </w:rPr>
        <w:lastRenderedPageBreak/>
        <w:t>similarity index. Jaccard’s index uses the size of intersection and the size of the union of two finite sample sets to evaluate similarity (</w:t>
      </w:r>
      <w:proofErr w:type="spellStart"/>
      <w:r>
        <w:rPr>
          <w:color w:val="000000"/>
        </w:rPr>
        <w:t>Magurran</w:t>
      </w:r>
      <w:proofErr w:type="spellEnd"/>
      <w:r>
        <w:rPr>
          <w:color w:val="000000"/>
        </w:rPr>
        <w:t xml:space="preserve"> 2013). Once-burned species communities will be pooled and treated as one community. Jaccard’s index on its own is often a descriptive metric: to provide a quantitative estimate of community difference across reburns, we calculated Jaccard’s index comparing each plot experiencing either 2 or 3 fires to the pooled one-burn community. This approach </w:t>
      </w:r>
      <w:r>
        <w:t>produced a distribution</w:t>
      </w:r>
      <w:r>
        <w:rPr>
          <w:color w:val="000000"/>
        </w:rPr>
        <w:t xml:space="preserve"> of differences created from comparing each twice-burned plot index to the pool of once-burned plots. That distribution of differences </w:t>
      </w:r>
      <w:r>
        <w:t xml:space="preserve">is </w:t>
      </w:r>
      <w:r>
        <w:rPr>
          <w:color w:val="000000"/>
        </w:rPr>
        <w:t xml:space="preserve">compared between 1-burn vs 2-burn and 1-burn vs 3-burn, providing a specific quantitative measure of whether additional reburns drives converging or diverging communities. </w:t>
      </w:r>
    </w:p>
    <w:p w14:paraId="00000027" w14:textId="77777777" w:rsidR="00CD6FF2" w:rsidRDefault="00CD6FF2">
      <w:pPr>
        <w:spacing w:line="480" w:lineRule="auto"/>
        <w:rPr>
          <w:color w:val="000000"/>
        </w:rPr>
      </w:pPr>
    </w:p>
    <w:p w14:paraId="00000028" w14:textId="461416F8" w:rsidR="00CD6FF2" w:rsidRDefault="00692E92" w:rsidP="006B518C">
      <w:pPr>
        <w:pStyle w:val="Heading2"/>
      </w:pPr>
      <w:bookmarkStart w:id="3" w:name="_heading=h.3znysh7" w:colFirst="0" w:colLast="0"/>
      <w:bookmarkEnd w:id="3"/>
      <w:r>
        <w:t>Results</w:t>
      </w:r>
    </w:p>
    <w:p w14:paraId="58D50534" w14:textId="7F356FCF" w:rsidR="006B518C" w:rsidRDefault="006B518C" w:rsidP="006B518C"/>
    <w:p w14:paraId="6879B888" w14:textId="73A62EB3" w:rsidR="006B518C" w:rsidRDefault="006B518C" w:rsidP="006B518C">
      <w:pPr>
        <w:pStyle w:val="Heading2"/>
      </w:pPr>
      <w:r>
        <w:t>Discussion</w:t>
      </w:r>
    </w:p>
    <w:p w14:paraId="495A8841" w14:textId="77777777" w:rsidR="00741952" w:rsidRPr="00741952" w:rsidRDefault="00741952" w:rsidP="00741952"/>
    <w:p w14:paraId="6CA6113A" w14:textId="63F82D94" w:rsidR="00741952" w:rsidRPr="00741952" w:rsidRDefault="006B518C" w:rsidP="00741952">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rsidR="00741952">
        <w:rPr>
          <w:rFonts w:ascii="Times New Roman" w:eastAsia="Times New Roman" w:hAnsi="Times New Roman" w:cs="Times New Roman"/>
        </w:rPr>
        <w:br w:type="page"/>
      </w:r>
    </w:p>
    <w:p w14:paraId="0000002E" w14:textId="789AFB42" w:rsidR="00CD6FF2" w:rsidRDefault="00692E92" w:rsidP="00741952">
      <w:pPr>
        <w:pStyle w:val="Heading2"/>
        <w:suppressLineNumbers/>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F" w14:textId="77777777" w:rsidR="00CD6FF2" w:rsidRDefault="00692E92" w:rsidP="00741952">
      <w:pPr>
        <w:suppressLineNumbers/>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30" w14:textId="77777777" w:rsidR="00CD6FF2" w:rsidRDefault="00692E92" w:rsidP="00741952">
      <w:pPr>
        <w:suppressLineNumbers/>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31"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32"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33"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proofErr w:type="gramStart"/>
      <w:r>
        <w:rPr>
          <w:color w:val="000000"/>
          <w:sz w:val="20"/>
          <w:szCs w:val="20"/>
        </w:rPr>
        <w:t>users</w:t>
      </w:r>
      <w:proofErr w:type="gramEnd"/>
      <w:r>
        <w:rPr>
          <w:color w:val="000000"/>
          <w:sz w:val="20"/>
          <w:szCs w:val="20"/>
        </w:rPr>
        <w:t xml:space="preserve">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34"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35" w14:textId="77777777" w:rsidR="00CD6FF2" w:rsidRDefault="00692E92" w:rsidP="00741952">
      <w:pPr>
        <w:suppressLineNumbers/>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6" w14:textId="075879F5"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4063C0C3" w14:textId="29FD041E" w:rsidR="000A22A6" w:rsidRPr="000A22A6" w:rsidRDefault="000A22A6" w:rsidP="000A22A6">
      <w:pPr>
        <w:suppressLineNumbers/>
        <w:spacing w:line="480" w:lineRule="auto"/>
        <w:ind w:left="720" w:hanging="720"/>
        <w:rPr>
          <w:color w:val="000000"/>
          <w:sz w:val="20"/>
          <w:szCs w:val="20"/>
          <w:highlight w:val="white"/>
        </w:rPr>
      </w:pPr>
      <w:r w:rsidRPr="000A22A6">
        <w:rPr>
          <w:color w:val="000000"/>
          <w:sz w:val="20"/>
          <w:szCs w:val="20"/>
          <w:highlight w:val="white"/>
        </w:rPr>
        <w:t xml:space="preserve">Hart, </w:t>
      </w:r>
      <w:proofErr w:type="gramStart"/>
      <w:r w:rsidRPr="000A22A6">
        <w:rPr>
          <w:color w:val="000000"/>
          <w:sz w:val="20"/>
          <w:szCs w:val="20"/>
          <w:highlight w:val="white"/>
        </w:rPr>
        <w:t>S.A.</w:t>
      </w:r>
      <w:proofErr w:type="gramEnd"/>
      <w:r w:rsidRPr="000A22A6">
        <w:rPr>
          <w:color w:val="000000"/>
          <w:sz w:val="20"/>
          <w:szCs w:val="20"/>
          <w:highlight w:val="white"/>
        </w:rPr>
        <w:t xml:space="preserve"> and Chen, H.Y., 2006. Understory vegetation dynamics of North American boreal forests. </w:t>
      </w:r>
      <w:r w:rsidRPr="000A22A6">
        <w:rPr>
          <w:i/>
          <w:iCs/>
          <w:color w:val="000000"/>
          <w:sz w:val="20"/>
          <w:szCs w:val="20"/>
          <w:highlight w:val="white"/>
        </w:rPr>
        <w:t>Critical Reviews in Plant Sciences</w:t>
      </w:r>
      <w:r w:rsidRPr="000A22A6">
        <w:rPr>
          <w:color w:val="000000"/>
          <w:sz w:val="20"/>
          <w:szCs w:val="20"/>
          <w:highlight w:val="white"/>
        </w:rPr>
        <w:t>, </w:t>
      </w:r>
      <w:r w:rsidRPr="000A22A6">
        <w:rPr>
          <w:i/>
          <w:iCs/>
          <w:color w:val="000000"/>
          <w:sz w:val="20"/>
          <w:szCs w:val="20"/>
          <w:highlight w:val="white"/>
        </w:rPr>
        <w:t>25</w:t>
      </w:r>
      <w:r w:rsidRPr="000A22A6">
        <w:rPr>
          <w:color w:val="000000"/>
          <w:sz w:val="20"/>
          <w:szCs w:val="20"/>
          <w:highlight w:val="white"/>
        </w:rPr>
        <w:t>(4), pp.381-397</w:t>
      </w:r>
      <w:r>
        <w:rPr>
          <w:color w:val="000000"/>
          <w:sz w:val="20"/>
          <w:szCs w:val="20"/>
          <w:highlight w:val="white"/>
        </w:rPr>
        <w:t>.</w:t>
      </w:r>
    </w:p>
    <w:p w14:paraId="00000037"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8"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9" w14:textId="77777777" w:rsidR="00CD6FF2" w:rsidRDefault="00692E92" w:rsidP="00741952">
      <w:pPr>
        <w:suppressLineNumbers/>
        <w:spacing w:line="480" w:lineRule="auto"/>
        <w:ind w:left="720" w:hanging="720"/>
        <w:rPr>
          <w:color w:val="000000"/>
          <w:sz w:val="20"/>
          <w:szCs w:val="20"/>
        </w:rPr>
      </w:pPr>
      <w:r>
        <w:rPr>
          <w:color w:val="000000"/>
          <w:sz w:val="20"/>
          <w:szCs w:val="20"/>
        </w:rPr>
        <w:lastRenderedPageBreak/>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A"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B"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C" w14:textId="77777777" w:rsidR="00CD6FF2" w:rsidRDefault="00692E92" w:rsidP="00741952">
      <w:pPr>
        <w:suppressLineNumbers/>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D" w14:textId="77777777" w:rsidR="00CD6FF2" w:rsidRDefault="00692E92" w:rsidP="00741952">
      <w:pPr>
        <w:suppressLineNumbers/>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E"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F" w14:textId="77777777" w:rsidR="00CD6FF2" w:rsidRDefault="00692E92" w:rsidP="00741952">
      <w:pPr>
        <w:suppressLineNumbers/>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 xml:space="preserve">Alaska’s changing </w:t>
      </w:r>
      <w:proofErr w:type="gramStart"/>
      <w:r>
        <w:rPr>
          <w:i/>
          <w:color w:val="000000"/>
          <w:sz w:val="20"/>
          <w:szCs w:val="20"/>
          <w:highlight w:val="white"/>
        </w:rPr>
        <w:t>Boreal forest</w:t>
      </w:r>
      <w:proofErr w:type="gramEnd"/>
      <w:r>
        <w:rPr>
          <w:color w:val="000000"/>
          <w:sz w:val="20"/>
          <w:szCs w:val="20"/>
          <w:highlight w:val="white"/>
        </w:rPr>
        <w:t>, pp.285-301.</w:t>
      </w:r>
    </w:p>
    <w:p w14:paraId="00000040" w14:textId="77777777" w:rsidR="00CD6FF2" w:rsidRDefault="00692E92" w:rsidP="00741952">
      <w:pPr>
        <w:suppressLineNumbers/>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41" w14:textId="77777777" w:rsidR="00CD6FF2" w:rsidRDefault="00692E92" w:rsidP="00741952">
      <w:pPr>
        <w:suppressLineNumbers/>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42"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43"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44"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5" w14:textId="77777777" w:rsidR="00CD6FF2" w:rsidRDefault="00692E92" w:rsidP="00741952">
      <w:pPr>
        <w:suppressLineNumbers/>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6"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7" w14:textId="77777777" w:rsidR="00CD6FF2" w:rsidRDefault="00692E92" w:rsidP="00741952">
      <w:pPr>
        <w:suppressLineNumbers/>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8"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9"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A" w14:textId="77777777" w:rsidR="00CD6FF2" w:rsidRDefault="00692E92" w:rsidP="00741952">
      <w:pPr>
        <w:suppressLineNumbers/>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p w14:paraId="0000004C"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D"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D6FF2" w:rsidSect="00741952">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yes, Katherine" w:date="2021-06-10T15:27:00Z" w:initials="">
    <w:p w14:paraId="0000004E"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Kind of important point – this implies comparing communities to other sites all-together, which could happen</w:t>
      </w:r>
    </w:p>
    <w:p w14:paraId="0000004F" w14:textId="77777777" w:rsidR="00CD6FF2" w:rsidRDefault="00CD6FF2">
      <w:pPr>
        <w:widowControl w:val="0"/>
        <w:pBdr>
          <w:top w:val="nil"/>
          <w:left w:val="nil"/>
          <w:bottom w:val="nil"/>
          <w:right w:val="nil"/>
          <w:between w:val="nil"/>
        </w:pBdr>
        <w:rPr>
          <w:rFonts w:ascii="Arial" w:eastAsia="Arial" w:hAnsi="Arial" w:cs="Arial"/>
          <w:color w:val="000000"/>
          <w:sz w:val="22"/>
          <w:szCs w:val="22"/>
        </w:rPr>
      </w:pPr>
    </w:p>
    <w:p w14:paraId="00000050"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Pretty sure what I meant here was just a comparison between my own reburned sites to each other, across the sites and vs the unburned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0" w16cid:durableId="24A138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565A622W913T796"/>
    <w:docVar w:name="paperpile-doc-name" w:val="community_draft.docx"/>
  </w:docVars>
  <w:rsids>
    <w:rsidRoot w:val="00CD6FF2"/>
    <w:rsid w:val="000569CD"/>
    <w:rsid w:val="000A22A6"/>
    <w:rsid w:val="00264E72"/>
    <w:rsid w:val="00692E92"/>
    <w:rsid w:val="006B518C"/>
    <w:rsid w:val="00741952"/>
    <w:rsid w:val="00860A55"/>
    <w:rsid w:val="00952D4F"/>
    <w:rsid w:val="00C6067F"/>
    <w:rsid w:val="00C91B4D"/>
    <w:rsid w:val="00CD6FF2"/>
    <w:rsid w:val="00D32FE5"/>
    <w:rsid w:val="00FB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102CB"/>
  <w15:docId w15:val="{52371199-829B-D44A-867F-E229C70B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1">
    <w:name w:val="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2267">
      <w:bodyDiv w:val="1"/>
      <w:marLeft w:val="0"/>
      <w:marRight w:val="0"/>
      <w:marTop w:val="0"/>
      <w:marBottom w:val="0"/>
      <w:divBdr>
        <w:top w:val="none" w:sz="0" w:space="0" w:color="auto"/>
        <w:left w:val="none" w:sz="0" w:space="0" w:color="auto"/>
        <w:bottom w:val="none" w:sz="0" w:space="0" w:color="auto"/>
        <w:right w:val="none" w:sz="0" w:space="0" w:color="auto"/>
      </w:divBdr>
    </w:div>
    <w:div w:id="387148680">
      <w:bodyDiv w:val="1"/>
      <w:marLeft w:val="0"/>
      <w:marRight w:val="0"/>
      <w:marTop w:val="0"/>
      <w:marBottom w:val="0"/>
      <w:divBdr>
        <w:top w:val="none" w:sz="0" w:space="0" w:color="auto"/>
        <w:left w:val="none" w:sz="0" w:space="0" w:color="auto"/>
        <w:bottom w:val="none" w:sz="0" w:space="0" w:color="auto"/>
        <w:right w:val="none" w:sz="0" w:space="0" w:color="auto"/>
      </w:divBdr>
    </w:div>
    <w:div w:id="876702043">
      <w:bodyDiv w:val="1"/>
      <w:marLeft w:val="0"/>
      <w:marRight w:val="0"/>
      <w:marTop w:val="0"/>
      <w:marBottom w:val="0"/>
      <w:divBdr>
        <w:top w:val="none" w:sz="0" w:space="0" w:color="auto"/>
        <w:left w:val="none" w:sz="0" w:space="0" w:color="auto"/>
        <w:bottom w:val="none" w:sz="0" w:space="0" w:color="auto"/>
        <w:right w:val="none" w:sz="0" w:space="0" w:color="auto"/>
      </w:divBdr>
    </w:div>
    <w:div w:id="121728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0eRoo8rLJ/dcI1Ke/DghrHVY/Q==">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cp:lastPrinted>2021-08-10T16:13:00Z</cp:lastPrinted>
  <dcterms:created xsi:type="dcterms:W3CDTF">2020-11-19T15:01:00Z</dcterms:created>
  <dcterms:modified xsi:type="dcterms:W3CDTF">2021-08-10T16:51:00Z</dcterms:modified>
</cp:coreProperties>
</file>