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54AEA" w14:textId="22811EE8" w:rsidR="0035591E" w:rsidRDefault="00BF3A1D">
      <w:r>
        <w:t>Method</w:t>
      </w:r>
    </w:p>
    <w:p w14:paraId="589213DB" w14:textId="77777777" w:rsidR="00BF3A1D" w:rsidRPr="00BF3A1D" w:rsidRDefault="00BF3A1D" w:rsidP="00BF3A1D">
      <w:pPr>
        <w:rPr>
          <w:rFonts w:cstheme="minorHAnsi"/>
          <w:color w:val="000000" w:themeColor="text1"/>
        </w:rPr>
      </w:pPr>
      <w:r w:rsidRPr="00BF3A1D">
        <w:rPr>
          <w:rFonts w:cstheme="minorHAnsi"/>
          <w:color w:val="000000" w:themeColor="text1"/>
        </w:rPr>
        <w:t xml:space="preserve">Developed as an alternative to the more time- and resource-intensive terrestrial laser scanning approach, 3D sampling will be applied to each plot in both sites to record presence/absence occupied volume for each fuel type present in the plot. Fuel type categories are system-specific, and for Interior Alaska, may include 1-10-hour fuels, 100-1000-hour fuels, general spruce litter, deciduous litter, arctic grass and other sedges, shrubs, forbs and mosses. </w:t>
      </w:r>
    </w:p>
    <w:p w14:paraId="6F47FA90" w14:textId="77777777" w:rsidR="00BF3A1D" w:rsidRDefault="00BF3A1D"/>
    <w:sectPr w:rsidR="00BF3A1D" w:rsidSect="0092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J527X875M365J988"/>
    <w:docVar w:name="paperpile-doc-name" w:val="Document3"/>
  </w:docVars>
  <w:rsids>
    <w:rsidRoot w:val="00BF3A1D"/>
    <w:rsid w:val="0035591E"/>
    <w:rsid w:val="00920D1E"/>
    <w:rsid w:val="009527B9"/>
    <w:rsid w:val="00B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2088"/>
  <w15:chartTrackingRefBased/>
  <w15:docId w15:val="{8CCE2496-3585-E64F-B811-5C32C4E8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395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Katherine</dc:creator>
  <cp:keywords/>
  <dc:description/>
  <cp:lastModifiedBy>Hayes, Katherine</cp:lastModifiedBy>
  <cp:revision>1</cp:revision>
  <dcterms:created xsi:type="dcterms:W3CDTF">2020-12-02T20:09:00Z</dcterms:created>
  <dcterms:modified xsi:type="dcterms:W3CDTF">2020-12-02T20:18:00Z</dcterms:modified>
</cp:coreProperties>
</file>