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3EF1CDD7" w:rsidR="0035591E" w:rsidRDefault="005E4644" w:rsidP="00DD7B67">
      <w:pPr>
        <w:spacing w:line="360" w:lineRule="auto"/>
      </w:pPr>
      <w:r w:rsidRPr="007A5368">
        <w:rPr>
          <w:b/>
          <w:bCs/>
        </w:rPr>
        <w:t>Title:</w:t>
      </w:r>
      <w:r>
        <w:t xml:space="preserve"> Short-interval reburning changes fuel structure </w:t>
      </w:r>
      <w:r w:rsidR="00282BE7">
        <w:t xml:space="preserve">of boreal </w:t>
      </w:r>
      <w:r>
        <w:t>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75F77E8F"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ins w:id="0" w:author="Brian Buma" w:date="2021-04-01T12:53:00Z">
        <w:r w:rsidR="00095517">
          <w:t xml:space="preserve"> due to changes in fuel structure and moisture content</w:t>
        </w:r>
      </w:ins>
      <w:r w:rsidR="00D729C9">
        <w:t xml:space="preserve">, but changes in fire weather and community composition have brought up questions about the strength or longevity of that negative feedback. </w:t>
      </w:r>
      <w:r>
        <w:t xml:space="preserve">Here we </w:t>
      </w:r>
      <w:r w:rsidR="00607E94">
        <w:t xml:space="preserve">directly test </w:t>
      </w:r>
      <w:commentRangeStart w:id="1"/>
      <w:r w:rsidR="00607E94">
        <w:t xml:space="preserve">the deciduous-flammability feedback </w:t>
      </w:r>
      <w:commentRangeEnd w:id="1"/>
      <w:r w:rsidR="00EE2A1C">
        <w:rPr>
          <w:rStyle w:val="CommentReference"/>
        </w:rPr>
        <w:commentReference w:id="1"/>
      </w:r>
      <w:r w:rsidR="00607E94">
        <w:t xml:space="preserve">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2" w:name="_Toc42179365"/>
      <w:r w:rsidRPr="00B73008">
        <w:rPr>
          <w:rFonts w:asciiTheme="minorHAnsi" w:hAnsiTheme="minorHAnsi" w:cstheme="minorHAnsi"/>
        </w:rPr>
        <w:t>Introduction</w:t>
      </w:r>
      <w:bookmarkEnd w:id="2"/>
      <w:r w:rsidRPr="00B73008">
        <w:rPr>
          <w:rFonts w:asciiTheme="minorHAnsi" w:hAnsiTheme="minorHAnsi" w:cstheme="minorHAnsi"/>
        </w:rPr>
        <w:t xml:space="preserve"> </w:t>
      </w:r>
    </w:p>
    <w:p w14:paraId="13AEF6F2" w14:textId="0CFFF783"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w:t>
      </w:r>
      <w:r w:rsidR="00167433">
        <w:rPr>
          <w:rFonts w:cstheme="minorHAnsi"/>
        </w:rPr>
        <w:t>suggests</w:t>
      </w:r>
      <w:r w:rsidR="005E4644">
        <w:rPr>
          <w:rFonts w:cstheme="minorHAnsi"/>
        </w:rPr>
        <w:t xml:space="preserve">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3EE44C47"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 xml:space="preserve">the deciduous feedback has </w:t>
      </w:r>
      <w:r w:rsidR="00167433">
        <w:rPr>
          <w:rFonts w:cstheme="minorHAnsi"/>
        </w:rPr>
        <w:t>been</w:t>
      </w:r>
      <w:r w:rsidR="001B041A" w:rsidRPr="00B73008">
        <w:rPr>
          <w:rFonts w:cstheme="minorHAnsi"/>
        </w:rPr>
        <w:t xml:space="preserve"> </w:t>
      </w:r>
      <w:proofErr w:type="gramStart"/>
      <w:r w:rsidR="001B041A" w:rsidRPr="00B73008">
        <w:rPr>
          <w:rFonts w:cstheme="minorHAnsi"/>
        </w:rPr>
        <w:t>overridden</w:t>
      </w:r>
      <w:r w:rsidR="001B041A">
        <w:rPr>
          <w:rFonts w:cstheme="minorHAnsi"/>
        </w:rPr>
        <w:t>:</w:t>
      </w:r>
      <w:proofErr w:type="gramEnd"/>
      <w:r w:rsidR="001B041A">
        <w:rPr>
          <w:rFonts w:cstheme="minorHAnsi"/>
        </w:rPr>
        <w:t xml:space="preserve"> </w:t>
      </w:r>
      <w:r w:rsidR="001B041A" w:rsidRPr="00B73008">
        <w:rPr>
          <w:rFonts w:cstheme="minorHAnsi"/>
        </w:rPr>
        <w:t>Kelly et al. 2013 in a synthesis of paleoecological records suggest that present fire regime</w:t>
      </w:r>
      <w:r w:rsidR="00167433">
        <w:rPr>
          <w:rFonts w:cstheme="minorHAnsi"/>
        </w:rPr>
        <w:t>s</w:t>
      </w:r>
      <w:r w:rsidR="001B041A" w:rsidRPr="00B73008">
        <w:rPr>
          <w:rFonts w:cstheme="minorHAnsi"/>
        </w:rPr>
        <w:t xml:space="preserve"> may have surpassed the proposed vegetation-induced limits</w:t>
      </w:r>
      <w:r w:rsidR="00167433">
        <w:rPr>
          <w:rFonts w:cstheme="minorHAnsi"/>
        </w:rPr>
        <w:t xml:space="preserve"> </w:t>
      </w:r>
      <w:commentRangeStart w:id="3"/>
      <w:r w:rsidR="00167433" w:rsidRPr="00167433">
        <w:rPr>
          <w:rFonts w:cstheme="minorHAnsi"/>
          <w:color w:val="FF0000"/>
        </w:rPr>
        <w:t xml:space="preserve">based on … </w:t>
      </w:r>
      <w:commentRangeEnd w:id="3"/>
      <w:r w:rsidR="00167433">
        <w:rPr>
          <w:rStyle w:val="CommentReference"/>
        </w:rPr>
        <w:commentReference w:id="3"/>
      </w:r>
      <w:r w:rsidR="00981CD9">
        <w:rPr>
          <w:rFonts w:cstheme="minorHAnsi"/>
        </w:rPr>
        <w:t>.</w:t>
      </w:r>
      <w:r w:rsidR="001B041A">
        <w:rPr>
          <w:rFonts w:cstheme="minorHAnsi"/>
        </w:rPr>
        <w:t xml:space="preserve"> </w:t>
      </w:r>
      <w:r w:rsidR="00167433">
        <w:rPr>
          <w:rFonts w:cstheme="minorHAnsi"/>
        </w:rPr>
        <w:t xml:space="preserve">Shifting community types may have enabled patterns of fire to overcome </w:t>
      </w:r>
      <w:r w:rsidR="00981CD9">
        <w:rPr>
          <w:rFonts w:cstheme="minorHAnsi"/>
        </w:rPr>
        <w:t xml:space="preserve">previous </w:t>
      </w:r>
      <w:r w:rsidR="00167433">
        <w:rPr>
          <w:rFonts w:cstheme="minorHAnsi"/>
        </w:rPr>
        <w:t>feedbacks to burning</w:t>
      </w:r>
      <w:r w:rsidR="00981CD9">
        <w:rPr>
          <w:rFonts w:cstheme="minorHAnsi"/>
        </w:rPr>
        <w:t xml:space="preserve">: paleoecological community types </w:t>
      </w:r>
      <w:r w:rsidR="00167433">
        <w:rPr>
          <w:rFonts w:cstheme="minorHAnsi"/>
        </w:rPr>
        <w:t>are not</w:t>
      </w:r>
      <w:r w:rsidR="00981CD9">
        <w:rPr>
          <w:rFonts w:cstheme="minorHAnsi"/>
        </w:rPr>
        <w:t xml:space="preserv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xml:space="preserve">, past boreal environments were dominated by birch (Higuera et al. 2008) while </w:t>
      </w:r>
      <w:r w:rsidRPr="00B73008">
        <w:rPr>
          <w:rFonts w:cstheme="minorHAnsi"/>
        </w:rPr>
        <w:lastRenderedPageBreak/>
        <w:t>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5BB889A"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he fire seasons of 2004 and 2005 are a tangible example of modern burning exceeding historic or paleoecologic analogs. Fires in the summer of 2004 burned more area within the season than any other year in Alaska’s 58-year historical fire record (</w:t>
      </w:r>
      <w:commentRangeStart w:id="4"/>
      <w:r w:rsidRPr="00B73008">
        <w:rPr>
          <w:rFonts w:cstheme="minorHAnsi"/>
        </w:rPr>
        <w:t xml:space="preserve">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w:t>
      </w:r>
      <w:commentRangeEnd w:id="4"/>
      <w:r w:rsidR="00095517">
        <w:rPr>
          <w:rStyle w:val="CommentReference"/>
        </w:rPr>
        <w:commentReference w:id="4"/>
      </w:r>
      <w:r w:rsidRPr="00B73008">
        <w:rPr>
          <w:rFonts w:cstheme="minorHAnsi"/>
        </w:rPr>
        <w:t>).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w:t>
      </w:r>
      <w:commentRangeStart w:id="5"/>
      <w:r w:rsidRPr="00B73008">
        <w:rPr>
          <w:rFonts w:cstheme="minorHAnsi"/>
        </w:rPr>
        <w:t xml:space="preserve">This </w:t>
      </w:r>
      <w:r>
        <w:rPr>
          <w:rFonts w:cstheme="minorHAnsi"/>
        </w:rPr>
        <w:t xml:space="preserve">pattern of </w:t>
      </w:r>
      <w:r w:rsidRPr="00B73008">
        <w:rPr>
          <w:rFonts w:cstheme="minorHAnsi"/>
        </w:rPr>
        <w:t xml:space="preserve">burning suggests that deciduous stands are perfectly capable of burning </w:t>
      </w:r>
      <w:commentRangeEnd w:id="5"/>
      <w:r w:rsidR="00DE3D31">
        <w:rPr>
          <w:rStyle w:val="CommentReference"/>
        </w:rPr>
        <w:commentReference w:id="5"/>
      </w:r>
      <w:r w:rsidRPr="00B73008">
        <w:rPr>
          <w:rFonts w:cstheme="minorHAnsi"/>
        </w:rPr>
        <w:t xml:space="preserve">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xml:space="preserve">, it is possible that emerging deciduous stands will not be exempt from future fire </w:t>
      </w:r>
      <w:r w:rsidR="00282BE7">
        <w:rPr>
          <w:rFonts w:cstheme="minorHAnsi"/>
        </w:rPr>
        <w:t>activity and</w:t>
      </w:r>
      <w:r w:rsidR="00DE3D31">
        <w:rPr>
          <w:rFonts w:cstheme="minorHAnsi"/>
        </w:rPr>
        <w:t xml:space="preserve"> may burn in ways that diverge from past </w:t>
      </w:r>
      <w:r w:rsidR="00282BE7">
        <w:rPr>
          <w:rFonts w:cstheme="minorHAnsi"/>
        </w:rPr>
        <w:t>patterns</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6" w:name="_Toc34651444"/>
      <w:bookmarkStart w:id="7"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6"/>
    <w:bookmarkEnd w:id="7"/>
    <w:p w14:paraId="651BC78E" w14:textId="4D2E7217" w:rsidR="004C593F" w:rsidRDefault="003A31B4" w:rsidP="00DD7B67">
      <w:pPr>
        <w:spacing w:line="360" w:lineRule="auto"/>
      </w:pPr>
      <w:r>
        <w:lastRenderedPageBreak/>
        <w:t xml:space="preserve">To examine </w:t>
      </w:r>
      <w:r w:rsidR="00481990">
        <w:t xml:space="preserve">the relationship between community type and </w:t>
      </w:r>
      <w:commentRangeStart w:id="8"/>
      <w:r w:rsidR="00481990">
        <w:t xml:space="preserve">flammability </w:t>
      </w:r>
      <w:commentRangeEnd w:id="8"/>
      <w:r w:rsidR="00095517">
        <w:rPr>
          <w:rStyle w:val="CommentReference"/>
        </w:rPr>
        <w:commentReference w:id="8"/>
      </w:r>
      <w:r w:rsidR="00481990">
        <w:t xml:space="preserve">as driven by shortening fire intervals, we </w:t>
      </w:r>
      <w:r w:rsidR="00DD7B67">
        <w:t xml:space="preserve">examined </w:t>
      </w:r>
      <w:r w:rsidR="00FA79DF">
        <w:t>fine-scale fuel loads in reburned stands in Interior Alaska</w:t>
      </w:r>
      <w:r w:rsidR="00DD7B67">
        <w:t xml:space="preserve"> before modeling fire behavior in </w:t>
      </w:r>
      <w:del w:id="9" w:author="Brian Buma" w:date="2021-04-01T12:55:00Z">
        <w:r w:rsidR="00DD7B67" w:rsidDel="00095517">
          <w:delText>reburned stands</w:delText>
        </w:r>
      </w:del>
      <w:ins w:id="10" w:author="Brian Buma" w:date="2021-04-01T12:55:00Z">
        <w:r w:rsidR="00095517">
          <w:t>stands with differing numbers of short interval fires</w:t>
        </w:r>
      </w:ins>
      <w:r w:rsidR="00FA79DF">
        <w:t xml:space="preserve">. </w:t>
      </w:r>
    </w:p>
    <w:p w14:paraId="46954925" w14:textId="77777777" w:rsidR="004C593F" w:rsidRDefault="004C593F" w:rsidP="00DD7B67">
      <w:pPr>
        <w:spacing w:line="360" w:lineRule="auto"/>
      </w:pPr>
    </w:p>
    <w:p w14:paraId="205D1D79" w14:textId="0A6FD6C6" w:rsidR="000C01B8" w:rsidRDefault="005E4644" w:rsidP="00DD7B67">
      <w:pPr>
        <w:spacing w:line="360" w:lineRule="auto"/>
        <w:rPr>
          <w:rFonts w:cstheme="minorHAnsi"/>
        </w:rPr>
      </w:pPr>
      <w:r w:rsidRPr="00B73008">
        <w:rPr>
          <w:rFonts w:cstheme="minorHAnsi"/>
        </w:rPr>
        <w:t>This study has three objectives: 1) evaluate how the</w:t>
      </w:r>
      <w:r w:rsidR="00282BE7">
        <w:rPr>
          <w:rFonts w:cstheme="minorHAnsi"/>
        </w:rPr>
        <w:t xml:space="preserve"> fuel-scape (fuel composition, density and distribution)</w:t>
      </w:r>
      <w:r w:rsidR="000C01B8" w:rsidRPr="00B73008">
        <w:rPr>
          <w:rFonts w:cstheme="minorHAnsi"/>
        </w:rPr>
        <w:t xml:space="preserve">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6FBA6184"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w:t>
      </w:r>
      <w:r w:rsidR="00282BE7">
        <w:rPr>
          <w:rFonts w:cstheme="minorHAnsi"/>
        </w:rPr>
        <w:t>-</w:t>
      </w:r>
      <w:proofErr w:type="spellStart"/>
      <w:r w:rsidR="00282BE7">
        <w:rPr>
          <w:rFonts w:cstheme="minorHAnsi"/>
        </w:rPr>
        <w:t>scapes</w:t>
      </w:r>
      <w:proofErr w:type="spellEnd"/>
      <w:r w:rsidRPr="00B73008">
        <w:rPr>
          <w:rFonts w:cstheme="minorHAnsi"/>
        </w:rPr>
        <w:t xml:space="preserve">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r w:rsidR="00282BE7">
        <w:rPr>
          <w:rFonts w:cstheme="minorHAnsi"/>
        </w:rPr>
        <w:t>fires but</w:t>
      </w:r>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11" w:name="_Toc34651448"/>
      <w:bookmarkStart w:id="12" w:name="_Toc42179371"/>
      <w:r w:rsidRPr="00B73008">
        <w:rPr>
          <w:rFonts w:asciiTheme="minorHAnsi" w:hAnsiTheme="minorHAnsi" w:cstheme="minorHAnsi"/>
        </w:rPr>
        <w:t>Methods</w:t>
      </w:r>
      <w:bookmarkEnd w:id="11"/>
      <w:bookmarkEnd w:id="12"/>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47CA9482"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w:t>
      </w:r>
      <w:r w:rsidR="0041788E">
        <w:rPr>
          <w:rFonts w:cstheme="minorHAnsi"/>
        </w:rPr>
        <w:lastRenderedPageBreak/>
        <w:t xml:space="preserve">of charred material and decay class of 1000-hour fuels across the full </w:t>
      </w:r>
      <w:proofErr w:type="gramStart"/>
      <w:r w:rsidR="0041788E">
        <w:rPr>
          <w:rFonts w:cstheme="minorHAnsi"/>
        </w:rPr>
        <w:t>transect, and</w:t>
      </w:r>
      <w:proofErr w:type="gramEnd"/>
      <w:r w:rsidR="0041788E">
        <w:rPr>
          <w:rFonts w:cstheme="minorHAnsi"/>
        </w:rPr>
        <w:t xml:space="preserve"> counted &lt;3 cm debris across subsets (1-hr = 2m, 10-hr = 5 m, 100-hr = 15m).</w:t>
      </w:r>
      <w:ins w:id="13" w:author="Brian Buma" w:date="2021-04-01T13:43:00Z">
        <w:r w:rsidR="00D917A8">
          <w:rPr>
            <w:rFonts w:cstheme="minorHAnsi"/>
          </w:rPr>
          <w:t xml:space="preserve"> Total fuel loading (tons/ha) was calculated…</w:t>
        </w:r>
      </w:ins>
    </w:p>
    <w:p w14:paraId="112B7890" w14:textId="3479C4FD" w:rsidR="005E4644" w:rsidRDefault="005E4644" w:rsidP="00DD7B67">
      <w:pPr>
        <w:spacing w:line="360" w:lineRule="auto"/>
        <w:rPr>
          <w:rFonts w:cstheme="minorHAnsi"/>
          <w:color w:val="70AD47" w:themeColor="accent6"/>
        </w:rPr>
      </w:pPr>
      <w:r>
        <w:rPr>
          <w:rFonts w:cstheme="minorHAnsi"/>
          <w:color w:val="70AD47" w:themeColor="accent6"/>
        </w:rPr>
        <w:br/>
      </w:r>
      <w:ins w:id="14" w:author="Brian Buma" w:date="2021-04-01T13:43:00Z">
        <w:r w:rsidR="00D917A8">
          <w:rPr>
            <w:rFonts w:cstheme="minorHAnsi"/>
            <w:color w:val="000000" w:themeColor="text1"/>
          </w:rPr>
          <w:t xml:space="preserve">Fuel depth was measured </w:t>
        </w:r>
      </w:ins>
      <w:del w:id="15" w:author="Brian Buma" w:date="2021-04-01T13:43:00Z">
        <w:r w:rsidR="00E21F1C" w:rsidDel="00D917A8">
          <w:rPr>
            <w:rFonts w:cstheme="minorHAnsi"/>
            <w:color w:val="000000" w:themeColor="text1"/>
          </w:rPr>
          <w:delText>We used aforementioned browns’ lines to measure f</w:delText>
        </w:r>
        <w:r w:rsidRPr="00B170E5" w:rsidDel="00D917A8">
          <w:rPr>
            <w:rFonts w:cstheme="minorHAnsi"/>
            <w:color w:val="000000" w:themeColor="text1"/>
          </w:rPr>
          <w:delText xml:space="preserve">ine fuel </w:delText>
        </w:r>
        <w:commentRangeStart w:id="16"/>
        <w:r w:rsidRPr="00B170E5" w:rsidDel="00D917A8">
          <w:rPr>
            <w:rFonts w:cstheme="minorHAnsi"/>
            <w:color w:val="000000" w:themeColor="text1"/>
          </w:rPr>
          <w:delText xml:space="preserve">loads </w:delText>
        </w:r>
        <w:commentRangeEnd w:id="16"/>
        <w:r w:rsidR="00095517" w:rsidDel="00D917A8">
          <w:rPr>
            <w:rStyle w:val="CommentReference"/>
          </w:rPr>
          <w:commentReference w:id="16"/>
        </w:r>
        <w:r w:rsidRPr="00B170E5" w:rsidDel="00D917A8">
          <w:rPr>
            <w:rFonts w:cstheme="minorHAnsi"/>
            <w:color w:val="000000" w:themeColor="text1"/>
          </w:rPr>
          <w:delText>in each plot</w:delText>
        </w:r>
      </w:del>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h</w:t>
      </w:r>
      <w:r w:rsidRPr="00B170E5">
        <w:rPr>
          <w:rFonts w:cstheme="minorHAnsi"/>
          <w:color w:val="000000" w:themeColor="text1"/>
        </w:rPr>
        <w:t xml:space="preserve">eight of the tallest vegetation connected continuously to the forest floor </w:t>
      </w:r>
      <w:del w:id="17" w:author="Brian Buma" w:date="2021-04-01T13:43:00Z">
        <w:r w:rsidRPr="00B170E5" w:rsidDel="00D917A8">
          <w:rPr>
            <w:rFonts w:cstheme="minorHAnsi"/>
            <w:color w:val="000000" w:themeColor="text1"/>
          </w:rPr>
          <w:delText>in centimeter</w:delText>
        </w:r>
        <w:r w:rsidDel="00D917A8">
          <w:rPr>
            <w:rFonts w:cstheme="minorHAnsi"/>
            <w:color w:val="000000" w:themeColor="text1"/>
          </w:rPr>
          <w:delText>s</w:delText>
        </w:r>
        <w:r w:rsidRPr="00B170E5" w:rsidDel="00D917A8">
          <w:rPr>
            <w:rFonts w:cstheme="minorHAnsi"/>
            <w:color w:val="000000" w:themeColor="text1"/>
          </w:rPr>
          <w:delText xml:space="preserve"> </w:delText>
        </w:r>
      </w:del>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w:t>
      </w:r>
      <w:ins w:id="18" w:author="Brian Buma" w:date="2021-04-01T13:44:00Z">
        <w:r w:rsidR="00D917A8">
          <w:rPr>
            <w:rFonts w:cstheme="minorHAnsi"/>
            <w:color w:val="000000" w:themeColor="text1"/>
          </w:rPr>
          <w:t xml:space="preserve">Brown’s </w:t>
        </w:r>
      </w:ins>
      <w:r>
        <w:rPr>
          <w:rFonts w:cstheme="minorHAnsi"/>
          <w:color w:val="000000" w:themeColor="text1"/>
        </w:rPr>
        <w:t>transect line</w:t>
      </w:r>
      <w:r w:rsidRPr="005E4644">
        <w:rPr>
          <w:rFonts w:cstheme="minorHAnsi"/>
          <w:color w:val="4472C4" w:themeColor="accent1"/>
        </w:rPr>
        <w:t>.</w:t>
      </w:r>
      <w:ins w:id="19" w:author="Brian Buma" w:date="2021-04-01T13:44:00Z">
        <w:r w:rsidR="00D917A8">
          <w:rPr>
            <w:rFonts w:cstheme="minorHAnsi"/>
            <w:color w:val="4472C4" w:themeColor="accent1"/>
          </w:rPr>
          <w:t xml:space="preserve"> Fine fuel loading… (tons/</w:t>
        </w:r>
        <w:proofErr w:type="gramStart"/>
        <w:r w:rsidR="00D917A8">
          <w:rPr>
            <w:rFonts w:cstheme="minorHAnsi"/>
            <w:color w:val="4472C4" w:themeColor="accent1"/>
          </w:rPr>
          <w:t>ha)…</w:t>
        </w:r>
      </w:ins>
      <w:proofErr w:type="gramEnd"/>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A815321" w:rsidR="001B3F8E" w:rsidRDefault="005E4644" w:rsidP="00DD7B67">
      <w:pPr>
        <w:spacing w:line="360" w:lineRule="auto"/>
        <w:rPr>
          <w:color w:val="000000" w:themeColor="text1"/>
          <w:spacing w:val="-2"/>
          <w:kern w:val="16"/>
        </w:rPr>
      </w:pPr>
      <w:commentRangeStart w:id="20"/>
      <w:r w:rsidRPr="0041079D">
        <w:rPr>
          <w:rFonts w:cstheme="minorHAnsi"/>
          <w:color w:val="000000" w:themeColor="text1"/>
        </w:rPr>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fuelbeds (Hardy et al. 2008). </w:t>
      </w:r>
      <w:commentRangeEnd w:id="20"/>
      <w:r w:rsidR="007F1C80">
        <w:rPr>
          <w:rStyle w:val="CommentReference"/>
        </w:rPr>
        <w:commentReference w:id="20"/>
      </w:r>
      <w:r w:rsidRPr="0041079D">
        <w:rPr>
          <w:rFonts w:cstheme="minorHAnsi"/>
          <w:color w:val="000000" w:themeColor="text1"/>
        </w:rPr>
        <w:t>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r w:rsidR="00167433">
        <w:rPr>
          <w:rFonts w:cstheme="minorHAnsi"/>
          <w:color w:val="000000" w:themeColor="text1"/>
        </w:rPr>
        <w:t>protocol</w:t>
      </w:r>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w:t>
      </w:r>
      <w:commentRangeStart w:id="21"/>
      <w:r>
        <w:rPr>
          <w:rFonts w:cstheme="minorHAnsi"/>
          <w:color w:val="000000" w:themeColor="text1"/>
        </w:rPr>
        <w:t xml:space="preserve">absence </w:t>
      </w:r>
      <w:commentRangeEnd w:id="21"/>
      <w:r w:rsidR="00D277F8">
        <w:rPr>
          <w:rStyle w:val="CommentReference"/>
        </w:rPr>
        <w:commentReference w:id="21"/>
      </w:r>
      <w:r>
        <w:rPr>
          <w:rFonts w:cstheme="minorHAnsi"/>
          <w:color w:val="000000" w:themeColor="text1"/>
        </w:rPr>
        <w:t xml:space="preserve">of </w:t>
      </w:r>
      <w:r w:rsidR="00335C2A">
        <w:rPr>
          <w:rFonts w:cstheme="minorHAnsi"/>
          <w:color w:val="000000" w:themeColor="text1"/>
        </w:rPr>
        <w:t xml:space="preserve">all </w:t>
      </w:r>
      <w:commentRangeStart w:id="22"/>
      <w:commentRangeStart w:id="23"/>
      <w:commentRangeStart w:id="24"/>
      <w:commentRangeStart w:id="25"/>
      <w:r w:rsidR="00335C2A">
        <w:rPr>
          <w:rFonts w:cstheme="minorHAnsi"/>
          <w:color w:val="000000" w:themeColor="text1"/>
        </w:rPr>
        <w:t xml:space="preserve">fuel types </w:t>
      </w:r>
      <w:commentRangeEnd w:id="22"/>
      <w:r w:rsidR="00335C2A">
        <w:rPr>
          <w:rStyle w:val="CommentReference"/>
        </w:rPr>
        <w:commentReference w:id="22"/>
      </w:r>
      <w:commentRangeEnd w:id="23"/>
      <w:r w:rsidR="00492110">
        <w:rPr>
          <w:rStyle w:val="CommentReference"/>
        </w:rPr>
        <w:commentReference w:id="23"/>
      </w:r>
      <w:commentRangeEnd w:id="24"/>
      <w:r w:rsidR="00CA465E">
        <w:rPr>
          <w:rStyle w:val="CommentReference"/>
        </w:rPr>
        <w:commentReference w:id="24"/>
      </w:r>
      <w:commentRangeEnd w:id="25"/>
      <w:r w:rsidR="00D277F8">
        <w:rPr>
          <w:rStyle w:val="CommentReference"/>
        </w:rPr>
        <w:commentReference w:id="25"/>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w:t>
      </w:r>
      <w:r>
        <w:rPr>
          <w:rFonts w:cstheme="minorHAnsi"/>
        </w:rPr>
        <w:lastRenderedPageBreak/>
        <w:t xml:space="preserve">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50A2C19B" w:rsidR="00DD7B67" w:rsidRPr="001344D9" w:rsidRDefault="00DD7B67" w:rsidP="00DD7B67">
      <w:pPr>
        <w:spacing w:line="360" w:lineRule="auto"/>
        <w:rPr>
          <w:rFonts w:cstheme="minorHAnsi"/>
          <w:color w:val="FF0000"/>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w:t>
      </w:r>
      <w:r w:rsidR="00AD7416">
        <w:rPr>
          <w:rFonts w:cstheme="minorHAnsi"/>
        </w:rPr>
        <w:t>a suite of fire behavior metrics, including wind velocity, fire intensity, fire consumption and fire velocity</w:t>
      </w:r>
      <w:r>
        <w:rPr>
          <w:rFonts w:cstheme="minorHAnsi"/>
        </w:rPr>
        <w:t xml:space="preserve">. </w:t>
      </w:r>
      <w:r w:rsidR="00AD7416">
        <w:rPr>
          <w:rFonts w:cstheme="minorHAnsi"/>
        </w:rPr>
        <w:t xml:space="preserve">These metrics are direct links to fire behavior properties that direct subsequent total area burned, fire severity, and fire management conditions. </w:t>
      </w:r>
      <w:commentRangeStart w:id="26"/>
      <w:r w:rsidR="001344D9" w:rsidRPr="001344D9">
        <w:rPr>
          <w:rFonts w:cstheme="minorHAnsi"/>
          <w:color w:val="FF0000"/>
        </w:rPr>
        <w:t>[will expand more – interested in whether it makes sense to include all the metrics we talked about in the proposal, or whether we want to pick a select few]</w:t>
      </w:r>
      <w:commentRangeEnd w:id="26"/>
      <w:r w:rsidR="007F1C80">
        <w:rPr>
          <w:rStyle w:val="CommentReference"/>
        </w:rPr>
        <w:commentReference w:id="26"/>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018790AD" w:rsidR="005066C5" w:rsidRPr="008934FA" w:rsidRDefault="005066C5" w:rsidP="005066C5">
      <w:pPr>
        <w:rPr>
          <w:rFonts w:cstheme="minorHAnsi"/>
        </w:rPr>
      </w:pPr>
      <w:commentRangeStart w:id="27"/>
      <w:commentRangeStart w:id="28"/>
      <w:r>
        <w:rPr>
          <w:rFonts w:cstheme="minorHAnsi"/>
          <w:b/>
          <w:bCs/>
        </w:rPr>
        <w:t xml:space="preserve">Figure X. </w:t>
      </w:r>
      <w:r w:rsidR="00D72FA6">
        <w:rPr>
          <w:rFonts w:cstheme="minorHAnsi"/>
          <w:b/>
          <w:bCs/>
        </w:rPr>
        <w:t>Mass of fuel size classes</w:t>
      </w:r>
      <w:r>
        <w:rPr>
          <w:rFonts w:cstheme="minorHAnsi"/>
          <w:b/>
          <w:bCs/>
        </w:rPr>
        <w:t xml:space="preserve"> </w:t>
      </w:r>
      <w:r w:rsidR="008934FA">
        <w:rPr>
          <w:rFonts w:cstheme="minorHAnsi"/>
          <w:b/>
          <w:bCs/>
        </w:rPr>
        <w:t xml:space="preserve">across years since initial fire </w:t>
      </w:r>
      <w:r>
        <w:rPr>
          <w:rFonts w:cstheme="minorHAnsi"/>
          <w:b/>
          <w:bCs/>
        </w:rPr>
        <w:t xml:space="preserve">and between sites according to size classes. </w:t>
      </w:r>
      <w:r w:rsidR="008934FA">
        <w:rPr>
          <w:rFonts w:cstheme="minorHAnsi"/>
        </w:rPr>
        <w:t>[dots jittered to spread data]</w:t>
      </w:r>
      <w:commentRangeEnd w:id="27"/>
      <w:r w:rsidR="00DE3D31">
        <w:rPr>
          <w:rStyle w:val="CommentReference"/>
        </w:rPr>
        <w:commentReference w:id="27"/>
      </w:r>
      <w:commentRangeEnd w:id="28"/>
      <w:r w:rsidR="007F1C80">
        <w:rPr>
          <w:rStyle w:val="CommentReference"/>
        </w:rPr>
        <w:commentReference w:id="28"/>
      </w:r>
    </w:p>
    <w:p w14:paraId="4B96D54F" w14:textId="136CDD1A" w:rsidR="005066C5" w:rsidRPr="005066C5" w:rsidRDefault="008934FA" w:rsidP="005066C5">
      <w:pPr>
        <w:rPr>
          <w:rFonts w:cstheme="minorHAnsi"/>
          <w:b/>
          <w:bCs/>
        </w:rPr>
      </w:pPr>
      <w:r>
        <w:rPr>
          <w:rFonts w:cstheme="minorHAnsi"/>
          <w:b/>
          <w:bCs/>
          <w:noProof/>
        </w:rPr>
        <w:lastRenderedPageBreak/>
        <w:drawing>
          <wp:inline distT="0" distB="0" distL="0" distR="0" wp14:anchorId="526AF2B4" wp14:editId="1B0E32B5">
            <wp:extent cx="5943600" cy="32785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12BA9617" w14:textId="77777777" w:rsidR="00DE3D31" w:rsidRDefault="00DE3D31" w:rsidP="005066C5">
      <w:pPr>
        <w:rPr>
          <w:rFonts w:cstheme="minorHAnsi"/>
          <w:b/>
          <w:bCs/>
        </w:rPr>
      </w:pPr>
    </w:p>
    <w:p w14:paraId="3625CEED" w14:textId="469ED7D4" w:rsidR="005066C5" w:rsidRPr="005066C5" w:rsidRDefault="005066C5" w:rsidP="005066C5">
      <w:pPr>
        <w:rPr>
          <w:rFonts w:cstheme="minorHAnsi"/>
          <w:b/>
          <w:bCs/>
        </w:rPr>
      </w:pPr>
      <w:commentRangeStart w:id="29"/>
      <w:r w:rsidRPr="005066C5">
        <w:rPr>
          <w:rFonts w:cstheme="minorHAnsi"/>
          <w:b/>
          <w:bCs/>
        </w:rPr>
        <w:t xml:space="preserve">Figure X. Fine fuel </w:t>
      </w:r>
      <w:r w:rsidR="00D72FA6">
        <w:rPr>
          <w:rFonts w:cstheme="minorHAnsi"/>
          <w:b/>
          <w:bCs/>
        </w:rPr>
        <w:t>heights</w:t>
      </w:r>
      <w:r>
        <w:rPr>
          <w:rFonts w:cstheme="minorHAnsi"/>
          <w:b/>
          <w:bCs/>
        </w:rPr>
        <w:t xml:space="preserve"> across </w:t>
      </w:r>
      <w:r w:rsidR="00DE3D31">
        <w:rPr>
          <w:rFonts w:cstheme="minorHAnsi"/>
          <w:b/>
          <w:bCs/>
        </w:rPr>
        <w:t>interval from first fire</w:t>
      </w:r>
      <w:r>
        <w:rPr>
          <w:rFonts w:cstheme="minorHAnsi"/>
          <w:b/>
          <w:bCs/>
        </w:rPr>
        <w:t xml:space="preserve">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29"/>
      <w:r w:rsidR="007F1C80">
        <w:rPr>
          <w:rStyle w:val="CommentReference"/>
        </w:rPr>
        <w:commentReference w:id="29"/>
      </w:r>
    </w:p>
    <w:p w14:paraId="1D3EBBFC" w14:textId="44A6DA0D" w:rsidR="005066C5" w:rsidRPr="005066C5" w:rsidRDefault="00DE3D31" w:rsidP="00DD7B67">
      <w:pPr>
        <w:spacing w:line="360" w:lineRule="auto"/>
        <w:rPr>
          <w:rFonts w:cstheme="minorHAnsi"/>
        </w:rPr>
      </w:pPr>
      <w:r>
        <w:rPr>
          <w:rFonts w:cstheme="minorHAnsi"/>
          <w:noProof/>
        </w:rPr>
        <w:drawing>
          <wp:inline distT="0" distB="0" distL="0" distR="0" wp14:anchorId="50080F1F" wp14:editId="04C27FB8">
            <wp:extent cx="3081391" cy="2571320"/>
            <wp:effectExtent l="0" t="0" r="508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7601" cy="2584847"/>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 xml:space="preserve">deciduous species has been invoked as a landscape management solution to boreal warming, based on paleoecological evidence of declining fire </w:t>
      </w:r>
      <w:r w:rsidRPr="00B73008">
        <w:rPr>
          <w:rFonts w:cstheme="minorHAnsi"/>
        </w:rPr>
        <w:lastRenderedPageBreak/>
        <w:t>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30" w:name="_Toc42179374"/>
      <w:r w:rsidRPr="00B73008">
        <w:rPr>
          <w:rFonts w:asciiTheme="minorHAnsi" w:hAnsiTheme="minorHAnsi" w:cstheme="minorHAnsi"/>
        </w:rPr>
        <w:t>References</w:t>
      </w:r>
      <w:bookmarkEnd w:id="30"/>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lastRenderedPageBreak/>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129AB3AD" w:rsidR="005E4644"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p w14:paraId="3044F8E1" w14:textId="512345E7" w:rsidR="00DE3D31" w:rsidRDefault="00DE3D31">
      <w:pPr>
        <w:rPr>
          <w:rFonts w:cstheme="minorHAnsi"/>
          <w:color w:val="000000" w:themeColor="text1"/>
          <w:sz w:val="20"/>
          <w:szCs w:val="20"/>
        </w:rPr>
      </w:pPr>
      <w:r>
        <w:rPr>
          <w:rFonts w:cstheme="minorHAnsi"/>
          <w:color w:val="000000" w:themeColor="text1"/>
          <w:sz w:val="20"/>
          <w:szCs w:val="20"/>
        </w:rPr>
        <w:br w:type="page"/>
      </w:r>
    </w:p>
    <w:p w14:paraId="513DA035" w14:textId="3DAE6CFB" w:rsidR="00DE3D31" w:rsidRDefault="00DE3D31" w:rsidP="00DE3D31">
      <w:pPr>
        <w:spacing w:line="360" w:lineRule="auto"/>
        <w:rPr>
          <w:rFonts w:cstheme="minorHAnsi"/>
          <w:color w:val="000000" w:themeColor="text1"/>
          <w:sz w:val="28"/>
          <w:szCs w:val="28"/>
        </w:rPr>
      </w:pPr>
      <w:r w:rsidRPr="00DE3D31">
        <w:rPr>
          <w:rFonts w:cstheme="minorHAnsi"/>
          <w:color w:val="000000" w:themeColor="text1"/>
          <w:sz w:val="28"/>
          <w:szCs w:val="28"/>
        </w:rPr>
        <w:lastRenderedPageBreak/>
        <w:t>Appendix</w:t>
      </w:r>
    </w:p>
    <w:p w14:paraId="24059411" w14:textId="68CD797E" w:rsidR="00DE3D31" w:rsidRDefault="00DE3D31" w:rsidP="00912787">
      <w:pPr>
        <w:rPr>
          <w:rFonts w:cstheme="minorHAnsi"/>
          <w:b/>
          <w:bCs/>
        </w:rPr>
      </w:pPr>
      <w:r>
        <w:rPr>
          <w:rFonts w:cstheme="minorHAnsi"/>
          <w:b/>
          <w:bCs/>
        </w:rPr>
        <w:t xml:space="preserve">Figure X. Differences in fuel moisture between sites and across treatments. </w:t>
      </w:r>
      <w:commentRangeStart w:id="31"/>
      <w:r w:rsidR="00912787">
        <w:rPr>
          <w:rFonts w:cstheme="minorHAnsi"/>
          <w:b/>
          <w:bCs/>
        </w:rPr>
        <w:t xml:space="preserve">Normalized weight loss is measured as the water weight lost after drying (wet weight – dry weight), divided by the initial wet weight in grams. </w:t>
      </w:r>
      <w:commentRangeEnd w:id="31"/>
      <w:r w:rsidR="00912787">
        <w:rPr>
          <w:rStyle w:val="CommentReference"/>
        </w:rPr>
        <w:commentReference w:id="31"/>
      </w:r>
    </w:p>
    <w:p w14:paraId="42519BEB" w14:textId="6539D806" w:rsidR="00912787" w:rsidRPr="00DE3D31" w:rsidRDefault="00912787" w:rsidP="00DE3D31">
      <w:pPr>
        <w:spacing w:line="360" w:lineRule="auto"/>
        <w:rPr>
          <w:rFonts w:cstheme="minorHAnsi"/>
          <w:color w:val="000000" w:themeColor="text1"/>
          <w:sz w:val="22"/>
          <w:szCs w:val="22"/>
        </w:rPr>
      </w:pPr>
      <w:r>
        <w:rPr>
          <w:rFonts w:cstheme="minorHAnsi"/>
          <w:noProof/>
          <w:color w:val="000000" w:themeColor="text1"/>
          <w:sz w:val="22"/>
          <w:szCs w:val="22"/>
        </w:rPr>
        <w:drawing>
          <wp:inline distT="0" distB="0" distL="0" distR="0" wp14:anchorId="1389ACE0" wp14:editId="0BBD1A8E">
            <wp:extent cx="2782469" cy="230505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2469" cy="2321618"/>
                    </a:xfrm>
                    <a:prstGeom prst="rect">
                      <a:avLst/>
                    </a:prstGeom>
                  </pic:spPr>
                </pic:pic>
              </a:graphicData>
            </a:graphic>
          </wp:inline>
        </w:drawing>
      </w:r>
      <w:r>
        <w:rPr>
          <w:rFonts w:cstheme="minorHAnsi"/>
          <w:noProof/>
          <w:color w:val="000000" w:themeColor="text1"/>
          <w:sz w:val="22"/>
          <w:szCs w:val="22"/>
        </w:rPr>
        <w:drawing>
          <wp:inline distT="0" distB="0" distL="0" distR="0" wp14:anchorId="77215BD5" wp14:editId="357B2217">
            <wp:extent cx="6634556" cy="1701168"/>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52900" cy="1705872"/>
                    </a:xfrm>
                    <a:prstGeom prst="rect">
                      <a:avLst/>
                    </a:prstGeom>
                  </pic:spPr>
                </pic:pic>
              </a:graphicData>
            </a:graphic>
          </wp:inline>
        </w:drawing>
      </w:r>
    </w:p>
    <w:sectPr w:rsidR="00912787" w:rsidRPr="00DE3D31" w:rsidSect="007A5368">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rian Buma" w:date="2021-04-01T12:52:00Z" w:initials="BB">
    <w:p w14:paraId="51465447" w14:textId="44A864E2" w:rsidR="007F1C80" w:rsidRDefault="007F1C80">
      <w:pPr>
        <w:pStyle w:val="CommentText"/>
      </w:pPr>
      <w:r>
        <w:rPr>
          <w:rStyle w:val="CommentReference"/>
        </w:rPr>
        <w:annotationRef/>
      </w:r>
      <w:r>
        <w:t>More like examine the limits or examine fuel type trends…  not sure exactly, but this doesn’t read quite right.</w:t>
      </w:r>
    </w:p>
  </w:comment>
  <w:comment w:id="3" w:author="Hayes, Katherine" w:date="2021-03-29T12:50:00Z" w:initials="HK">
    <w:p w14:paraId="5337DA92" w14:textId="4ACED643" w:rsidR="007F1C80" w:rsidRDefault="007F1C80">
      <w:pPr>
        <w:pStyle w:val="CommentText"/>
      </w:pPr>
      <w:r>
        <w:rPr>
          <w:rStyle w:val="CommentReference"/>
        </w:rPr>
        <w:annotationRef/>
      </w:r>
      <w:r>
        <w:t>Need to go back and check why they say this</w:t>
      </w:r>
    </w:p>
  </w:comment>
  <w:comment w:id="4" w:author="Brian Buma" w:date="2021-04-01T12:54:00Z" w:initials="BB">
    <w:p w14:paraId="038E62E1" w14:textId="6FA91719" w:rsidR="007F1C80" w:rsidRDefault="007F1C80">
      <w:pPr>
        <w:pStyle w:val="CommentText"/>
      </w:pPr>
      <w:r>
        <w:rPr>
          <w:rStyle w:val="CommentReference"/>
        </w:rPr>
        <w:annotationRef/>
      </w:r>
      <w:r>
        <w:t xml:space="preserve">I believe it’s still </w:t>
      </w:r>
      <w:proofErr w:type="gramStart"/>
      <w:r>
        <w:t>true, but</w:t>
      </w:r>
      <w:proofErr w:type="gramEnd"/>
      <w:r>
        <w:t xml:space="preserve"> should cite something more recent.  The AK state gov’t tracks totals.</w:t>
      </w:r>
    </w:p>
  </w:comment>
  <w:comment w:id="5" w:author="Hayes, Katherine" w:date="2021-03-29T12:53:00Z" w:initials="HK">
    <w:p w14:paraId="3CF2E79E" w14:textId="44441745" w:rsidR="007F1C80" w:rsidRDefault="007F1C80">
      <w:pPr>
        <w:pStyle w:val="CommentText"/>
      </w:pPr>
      <w:r>
        <w:rPr>
          <w:rStyle w:val="CommentReference"/>
        </w:rPr>
        <w:annotationRef/>
      </w:r>
      <w:r>
        <w:t>Slightly snarky wording</w:t>
      </w:r>
    </w:p>
  </w:comment>
  <w:comment w:id="8" w:author="Brian Buma" w:date="2021-04-01T12:54:00Z" w:initials="BB">
    <w:p w14:paraId="57AD0809" w14:textId="7AADF006" w:rsidR="007F1C80" w:rsidRDefault="007F1C80">
      <w:pPr>
        <w:pStyle w:val="CommentText"/>
      </w:pPr>
      <w:r>
        <w:rPr>
          <w:rStyle w:val="CommentReference"/>
        </w:rPr>
        <w:annotationRef/>
      </w:r>
      <w:r>
        <w:t>Flammability not same as fuel loading, though obviously related. Word choice.</w:t>
      </w:r>
    </w:p>
  </w:comment>
  <w:comment w:id="16" w:author="Brian Buma" w:date="2021-04-01T12:58:00Z" w:initials="BB">
    <w:p w14:paraId="46913A7F" w14:textId="049D156C" w:rsidR="007F1C80" w:rsidRDefault="007F1C80">
      <w:pPr>
        <w:pStyle w:val="CommentText"/>
      </w:pPr>
      <w:r>
        <w:rPr>
          <w:rStyle w:val="CommentReference"/>
        </w:rPr>
        <w:annotationRef/>
      </w:r>
      <w:r>
        <w:t>Depths, really.  Loads implies harvesting and massing – which was done, I suppose.</w:t>
      </w:r>
    </w:p>
  </w:comment>
  <w:comment w:id="20" w:author="Brian Buma" w:date="2021-04-01T13:32:00Z" w:initials="BB">
    <w:p w14:paraId="2456950D" w14:textId="42AADA8E" w:rsidR="007F1C80" w:rsidRDefault="007F1C80">
      <w:pPr>
        <w:pStyle w:val="CommentText"/>
      </w:pPr>
      <w:r>
        <w:rPr>
          <w:rStyle w:val="CommentReference"/>
        </w:rPr>
        <w:annotationRef/>
      </w:r>
      <w:r>
        <w:t>True but wordy, could just say “To capture the 3D…”</w:t>
      </w:r>
    </w:p>
  </w:comment>
  <w:comment w:id="21" w:author="Brian Buma" w:date="2021-04-01T12:59:00Z" w:initials="BB">
    <w:p w14:paraId="67938544" w14:textId="0DAB60BC" w:rsidR="007F1C80" w:rsidRDefault="007F1C80">
      <w:pPr>
        <w:pStyle w:val="CommentText"/>
      </w:pPr>
      <w:r>
        <w:rPr>
          <w:rStyle w:val="CommentReference"/>
        </w:rPr>
        <w:annotationRef/>
      </w:r>
      <w:r>
        <w:t>And mass?</w:t>
      </w:r>
    </w:p>
  </w:comment>
  <w:comment w:id="22" w:author="Hayes, Katherine" w:date="2021-03-09T08:49:00Z" w:initials="HK">
    <w:p w14:paraId="0F740FBD" w14:textId="6F8B8B0D" w:rsidR="007F1C80" w:rsidRDefault="007F1C80">
      <w:pPr>
        <w:pStyle w:val="CommentText"/>
      </w:pPr>
      <w:r>
        <w:rPr>
          <w:rStyle w:val="CommentReference"/>
        </w:rPr>
        <w:annotationRef/>
      </w:r>
      <w:r>
        <w:t xml:space="preserve">Hawley uses 10 </w:t>
      </w:r>
      <w:proofErr w:type="spellStart"/>
      <w:r>
        <w:t>hr</w:t>
      </w:r>
      <w:proofErr w:type="spellEnd"/>
      <w:r>
        <w:t xml:space="preserve">, 100-1000 </w:t>
      </w:r>
      <w:proofErr w:type="spellStart"/>
      <w:r>
        <w:t>hr</w:t>
      </w:r>
      <w:proofErr w:type="spellEnd"/>
      <w:r>
        <w:t xml:space="preserve">, pine litter, wiregrass/bunchgrass, other graminoids, shrubs, volatile shrubs, forbs, </w:t>
      </w:r>
      <w:proofErr w:type="gramStart"/>
      <w:r>
        <w:t>pine cones</w:t>
      </w:r>
      <w:proofErr w:type="gramEnd"/>
      <w:r>
        <w:t>, deciduous oak litter, evergreen oak litter, longleaf pine litter</w:t>
      </w:r>
    </w:p>
  </w:comment>
  <w:comment w:id="23" w:author="Hayes, Katherine" w:date="2021-03-09T08:51:00Z" w:initials="HK">
    <w:p w14:paraId="79B6A548" w14:textId="6C10012C" w:rsidR="007F1C80" w:rsidRDefault="007F1C80">
      <w:pPr>
        <w:pStyle w:val="CommentText"/>
      </w:pPr>
      <w:r>
        <w:rPr>
          <w:rStyle w:val="CommentReference"/>
        </w:rPr>
        <w:annotationRef/>
      </w:r>
      <w:r>
        <w:t xml:space="preserve">I’ve been looking at the fuel model guides for AK vegetation - Thinking we’d use 10/100/100 </w:t>
      </w:r>
      <w:proofErr w:type="spellStart"/>
      <w:r>
        <w:t>hr</w:t>
      </w:r>
      <w:proofErr w:type="spellEnd"/>
      <w:r>
        <w:t>, forbs, shrubs, graminoids, feathermoss, maybe duff/SOL height?</w:t>
      </w:r>
    </w:p>
  </w:comment>
  <w:comment w:id="24" w:author="Hayes, Katherine" w:date="2021-03-09T09:04:00Z" w:initials="HK">
    <w:p w14:paraId="1890ADFB" w14:textId="5541B48A" w:rsidR="007F1C80" w:rsidRDefault="007F1C80">
      <w:pPr>
        <w:pStyle w:val="CommentText"/>
      </w:pPr>
      <w:r>
        <w:rPr>
          <w:rStyle w:val="CommentReference"/>
        </w:rPr>
        <w:annotationRef/>
      </w:r>
      <w:r>
        <w:t>Definitely want to talk to chad about this, and maybe someone like Randi too</w:t>
      </w:r>
    </w:p>
  </w:comment>
  <w:comment w:id="25" w:author="Brian Buma" w:date="2021-04-01T12:59:00Z" w:initials="BB">
    <w:p w14:paraId="034F1A64" w14:textId="1B940203" w:rsidR="007F1C80" w:rsidRDefault="007F1C80">
      <w:pPr>
        <w:pStyle w:val="CommentText"/>
      </w:pPr>
      <w:r>
        <w:rPr>
          <w:rStyle w:val="CommentReference"/>
        </w:rPr>
        <w:annotationRef/>
      </w:r>
      <w:r>
        <w:t>Yeah, those seem reasonable.  Duff would be important to capture, but we may have that already</w:t>
      </w:r>
      <w:r w:rsidR="00D917A8">
        <w:t>.  Randi would be a good person to talk to about other categories/combining categories, yes.</w:t>
      </w:r>
    </w:p>
  </w:comment>
  <w:comment w:id="26" w:author="Brian Buma" w:date="2021-04-01T13:33:00Z" w:initials="BB">
    <w:p w14:paraId="39B696A8" w14:textId="6D0F7FD5" w:rsidR="007F1C80" w:rsidRDefault="007F1C80">
      <w:pPr>
        <w:pStyle w:val="CommentText"/>
      </w:pPr>
      <w:r>
        <w:rPr>
          <w:rStyle w:val="CommentReference"/>
        </w:rPr>
        <w:annotationRef/>
      </w:r>
      <w:r>
        <w:t xml:space="preserve">Per my understanding from Chad, it’s all there anyway, so it’s not necessary quite yet since there’s no </w:t>
      </w:r>
      <w:proofErr w:type="spellStart"/>
      <w:r>
        <w:t>manpultations</w:t>
      </w:r>
      <w:proofErr w:type="spellEnd"/>
      <w:r>
        <w:t>/ design decisions to make, it’s the final output.</w:t>
      </w:r>
    </w:p>
  </w:comment>
  <w:comment w:id="27" w:author="Hayes, Katherine" w:date="2021-03-29T12:59:00Z" w:initials="HK">
    <w:p w14:paraId="3747020B" w14:textId="51797429" w:rsidR="007F1C80" w:rsidRDefault="007F1C80">
      <w:pPr>
        <w:pStyle w:val="CommentText"/>
      </w:pPr>
      <w:r>
        <w:rPr>
          <w:rStyle w:val="CommentReference"/>
        </w:rPr>
        <w:annotationRef/>
      </w:r>
      <w:r>
        <w:t xml:space="preserve">Question to </w:t>
      </w:r>
      <w:proofErr w:type="gramStart"/>
      <w:r>
        <w:t>resolve:</w:t>
      </w:r>
      <w:proofErr w:type="gramEnd"/>
      <w: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28" w:author="Brian Buma" w:date="2021-04-01T13:34:00Z" w:initials="BB">
    <w:p w14:paraId="531F91B9" w14:textId="1ABA2913" w:rsidR="007F1C80" w:rsidRDefault="007F1C80">
      <w:pPr>
        <w:pStyle w:val="CommentText"/>
      </w:pPr>
      <w:r>
        <w:rPr>
          <w:rStyle w:val="CommentReference"/>
        </w:rPr>
        <w:annotationRef/>
      </w:r>
      <w:r>
        <w:t>A good point.  What about plotting with differing symbols (in addition to the different colors), one for single burns, one for 2x and one for 3x?</w:t>
      </w:r>
    </w:p>
  </w:comment>
  <w:comment w:id="29" w:author="Brian Buma" w:date="2021-04-01T13:35:00Z" w:initials="BB">
    <w:p w14:paraId="461C4D7B" w14:textId="0BB00531" w:rsidR="007F1C80" w:rsidRDefault="007F1C80">
      <w:pPr>
        <w:pStyle w:val="CommentText"/>
      </w:pPr>
      <w:r>
        <w:rPr>
          <w:rStyle w:val="CommentReference"/>
        </w:rPr>
        <w:annotationRef/>
      </w:r>
      <w:r>
        <w:t>Suggest a paired graph with SD or some metric of variability (or a mean/variance graph by itself)</w:t>
      </w:r>
    </w:p>
    <w:p w14:paraId="4943FEDD" w14:textId="77777777" w:rsidR="007F1C80" w:rsidRDefault="007F1C80">
      <w:pPr>
        <w:pStyle w:val="CommentText"/>
      </w:pPr>
    </w:p>
    <w:p w14:paraId="1B66E877" w14:textId="77777777" w:rsidR="007F1C80" w:rsidRDefault="007F1C80">
      <w:pPr>
        <w:pStyle w:val="CommentText"/>
      </w:pPr>
      <w:r>
        <w:t>X axis label is off.</w:t>
      </w:r>
    </w:p>
    <w:p w14:paraId="32706F6B" w14:textId="77777777" w:rsidR="007F1C80" w:rsidRDefault="007F1C80">
      <w:pPr>
        <w:pStyle w:val="CommentText"/>
      </w:pPr>
    </w:p>
    <w:p w14:paraId="03276CD2" w14:textId="0FECA825" w:rsidR="007F1C80" w:rsidRDefault="007F1C80">
      <w:pPr>
        <w:pStyle w:val="CommentText"/>
      </w:pPr>
    </w:p>
  </w:comment>
  <w:comment w:id="31" w:author="Hayes, Katherine" w:date="2021-03-29T13:06:00Z" w:initials="HK">
    <w:p w14:paraId="52486C97" w14:textId="77777777" w:rsidR="007F1C80" w:rsidRDefault="007F1C80">
      <w:pPr>
        <w:pStyle w:val="CommentText"/>
      </w:pPr>
      <w:r>
        <w:rPr>
          <w:rStyle w:val="CommentReference"/>
        </w:rPr>
        <w:annotationRef/>
      </w:r>
      <w:r>
        <w:t>This seemed like a better way to represent it than just wet – dry or even dry / wet, does it make sense?</w:t>
      </w:r>
    </w:p>
    <w:p w14:paraId="51FA615D" w14:textId="77777777" w:rsidR="007F1C80" w:rsidRDefault="007F1C80">
      <w:pPr>
        <w:pStyle w:val="CommentText"/>
      </w:pPr>
    </w:p>
    <w:p w14:paraId="7B82EF37" w14:textId="0FC2C2C9" w:rsidR="007F1C80" w:rsidRDefault="007F1C80">
      <w:pPr>
        <w:pStyle w:val="CommentText"/>
      </w:pPr>
      <w: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465447" w15:done="0"/>
  <w15:commentEx w15:paraId="5337DA92" w15:done="0"/>
  <w15:commentEx w15:paraId="038E62E1" w15:done="0"/>
  <w15:commentEx w15:paraId="3CF2E79E" w15:done="0"/>
  <w15:commentEx w15:paraId="57AD0809" w15:done="0"/>
  <w15:commentEx w15:paraId="46913A7F" w15:done="0"/>
  <w15:commentEx w15:paraId="2456950D" w15:done="0"/>
  <w15:commentEx w15:paraId="67938544" w15:done="0"/>
  <w15:commentEx w15:paraId="0F740FBD" w15:done="0"/>
  <w15:commentEx w15:paraId="79B6A548" w15:paraIdParent="0F740FBD" w15:done="0"/>
  <w15:commentEx w15:paraId="1890ADFB" w15:paraIdParent="0F740FBD" w15:done="0"/>
  <w15:commentEx w15:paraId="034F1A64" w15:paraIdParent="0F740FBD" w15:done="0"/>
  <w15:commentEx w15:paraId="39B696A8" w15:done="0"/>
  <w15:commentEx w15:paraId="3747020B" w15:done="0"/>
  <w15:commentEx w15:paraId="531F91B9" w15:paraIdParent="3747020B" w15:done="0"/>
  <w15:commentEx w15:paraId="03276CD2" w15:done="0"/>
  <w15:commentEx w15:paraId="7B82E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4085" w16cex:dateUtc="2021-04-01T18:52:00Z"/>
  <w16cex:commentExtensible w16cex:durableId="240C4B88" w16cex:dateUtc="2021-03-29T18:50:00Z"/>
  <w16cex:commentExtensible w16cex:durableId="241040E9" w16cex:dateUtc="2021-04-01T18:54:00Z"/>
  <w16cex:commentExtensible w16cex:durableId="240C4C45" w16cex:dateUtc="2021-03-29T18:53:00Z"/>
  <w16cex:commentExtensible w16cex:durableId="24104107" w16cex:dateUtc="2021-04-01T18:54:00Z"/>
  <w16cex:commentExtensible w16cex:durableId="241041F9" w16cex:dateUtc="2021-04-01T18:58:00Z"/>
  <w16cex:commentExtensible w16cex:durableId="241049F9" w16cex:dateUtc="2021-04-01T19:32:00Z"/>
  <w16cex:commentExtensible w16cex:durableId="24104239" w16cex:dateUtc="2021-04-01T18:59:00Z"/>
  <w16cex:commentExtensible w16cex:durableId="23F1B529" w16cex:dateUtc="2021-03-09T15:49:00Z"/>
  <w16cex:commentExtensible w16cex:durableId="23F1B594" w16cex:dateUtc="2021-03-09T15:51:00Z"/>
  <w16cex:commentExtensible w16cex:durableId="23F1B88F" w16cex:dateUtc="2021-03-09T16:04:00Z"/>
  <w16cex:commentExtensible w16cex:durableId="24104220" w16cex:dateUtc="2021-04-01T18:59:00Z"/>
  <w16cex:commentExtensible w16cex:durableId="24104A0D" w16cex:dateUtc="2021-04-01T19:33:00Z"/>
  <w16cex:commentExtensible w16cex:durableId="240C4D99" w16cex:dateUtc="2021-03-29T18:59:00Z"/>
  <w16cex:commentExtensible w16cex:durableId="24104A5A" w16cex:dateUtc="2021-04-01T19:34:00Z"/>
  <w16cex:commentExtensible w16cex:durableId="24104A89" w16cex:dateUtc="2021-04-01T19:35:00Z"/>
  <w16cex:commentExtensible w16cex:durableId="240C4F41" w16cex:dateUtc="2021-03-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465447" w16cid:durableId="24104085"/>
  <w16cid:commentId w16cid:paraId="5337DA92" w16cid:durableId="240C4B88"/>
  <w16cid:commentId w16cid:paraId="038E62E1" w16cid:durableId="241040E9"/>
  <w16cid:commentId w16cid:paraId="3CF2E79E" w16cid:durableId="240C4C45"/>
  <w16cid:commentId w16cid:paraId="57AD0809" w16cid:durableId="24104107"/>
  <w16cid:commentId w16cid:paraId="46913A7F" w16cid:durableId="241041F9"/>
  <w16cid:commentId w16cid:paraId="2456950D" w16cid:durableId="241049F9"/>
  <w16cid:commentId w16cid:paraId="67938544" w16cid:durableId="24104239"/>
  <w16cid:commentId w16cid:paraId="0F740FBD" w16cid:durableId="23F1B529"/>
  <w16cid:commentId w16cid:paraId="79B6A548" w16cid:durableId="23F1B594"/>
  <w16cid:commentId w16cid:paraId="1890ADFB" w16cid:durableId="23F1B88F"/>
  <w16cid:commentId w16cid:paraId="034F1A64" w16cid:durableId="24104220"/>
  <w16cid:commentId w16cid:paraId="39B696A8" w16cid:durableId="24104A0D"/>
  <w16cid:commentId w16cid:paraId="3747020B" w16cid:durableId="240C4D99"/>
  <w16cid:commentId w16cid:paraId="531F91B9" w16cid:durableId="24104A5A"/>
  <w16cid:commentId w16cid:paraId="03276CD2" w16cid:durableId="24104A89"/>
  <w16cid:commentId w16cid:paraId="7B82EF37" w16cid:durableId="240C4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C53D0" w14:textId="77777777" w:rsidR="008557B9" w:rsidRDefault="008557B9" w:rsidP="000322B5">
      <w:r>
        <w:separator/>
      </w:r>
    </w:p>
  </w:endnote>
  <w:endnote w:type="continuationSeparator" w:id="0">
    <w:p w14:paraId="78F301E3" w14:textId="77777777" w:rsidR="008557B9" w:rsidRDefault="008557B9"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7F1C80" w:rsidRDefault="007F1C80"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7F1C80" w:rsidRDefault="007F1C80"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7F1C80" w:rsidRDefault="007F1C80"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DE65E" w14:textId="77777777" w:rsidR="008557B9" w:rsidRDefault="008557B9" w:rsidP="000322B5">
      <w:r>
        <w:separator/>
      </w:r>
    </w:p>
  </w:footnote>
  <w:footnote w:type="continuationSeparator" w:id="0">
    <w:p w14:paraId="734366DA" w14:textId="77777777" w:rsidR="008557B9" w:rsidRDefault="008557B9"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U692H952X343B163"/>
    <w:docVar w:name="paperpile-doc-name" w:val="fuel_draft bb april 1.docx"/>
  </w:docVars>
  <w:rsids>
    <w:rsidRoot w:val="005E4644"/>
    <w:rsid w:val="000140A2"/>
    <w:rsid w:val="000322B5"/>
    <w:rsid w:val="00095517"/>
    <w:rsid w:val="000C01B8"/>
    <w:rsid w:val="001109DD"/>
    <w:rsid w:val="001344D9"/>
    <w:rsid w:val="0015740E"/>
    <w:rsid w:val="00165D33"/>
    <w:rsid w:val="00167433"/>
    <w:rsid w:val="001A7B63"/>
    <w:rsid w:val="001B041A"/>
    <w:rsid w:val="001B3F8E"/>
    <w:rsid w:val="001B4FE8"/>
    <w:rsid w:val="00282BE7"/>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4E3D39"/>
    <w:rsid w:val="005066C5"/>
    <w:rsid w:val="00567526"/>
    <w:rsid w:val="00590CB5"/>
    <w:rsid w:val="005C2AA5"/>
    <w:rsid w:val="005C7103"/>
    <w:rsid w:val="005E4644"/>
    <w:rsid w:val="00607E94"/>
    <w:rsid w:val="006A7F47"/>
    <w:rsid w:val="006F58F1"/>
    <w:rsid w:val="007056CB"/>
    <w:rsid w:val="0072232E"/>
    <w:rsid w:val="00750B5D"/>
    <w:rsid w:val="007A5368"/>
    <w:rsid w:val="007F1C80"/>
    <w:rsid w:val="007F277D"/>
    <w:rsid w:val="00817280"/>
    <w:rsid w:val="008557B9"/>
    <w:rsid w:val="008934FA"/>
    <w:rsid w:val="008C6274"/>
    <w:rsid w:val="008D7F31"/>
    <w:rsid w:val="00912787"/>
    <w:rsid w:val="00920D1E"/>
    <w:rsid w:val="00981CD9"/>
    <w:rsid w:val="009929DE"/>
    <w:rsid w:val="009A718A"/>
    <w:rsid w:val="00A0286D"/>
    <w:rsid w:val="00A1667F"/>
    <w:rsid w:val="00A335E2"/>
    <w:rsid w:val="00AC2D62"/>
    <w:rsid w:val="00AC35D9"/>
    <w:rsid w:val="00AD10CC"/>
    <w:rsid w:val="00AD7416"/>
    <w:rsid w:val="00B357CF"/>
    <w:rsid w:val="00B476A2"/>
    <w:rsid w:val="00BA4A94"/>
    <w:rsid w:val="00C34845"/>
    <w:rsid w:val="00C471DA"/>
    <w:rsid w:val="00CA465E"/>
    <w:rsid w:val="00D277F8"/>
    <w:rsid w:val="00D31947"/>
    <w:rsid w:val="00D601E0"/>
    <w:rsid w:val="00D729C9"/>
    <w:rsid w:val="00D72FA6"/>
    <w:rsid w:val="00D917A8"/>
    <w:rsid w:val="00DD7B67"/>
    <w:rsid w:val="00DE3D31"/>
    <w:rsid w:val="00E21F1C"/>
    <w:rsid w:val="00EC4C33"/>
    <w:rsid w:val="00EE2A1C"/>
    <w:rsid w:val="00EE4C05"/>
    <w:rsid w:val="00F039ED"/>
    <w:rsid w:val="00FA79DF"/>
    <w:rsid w:val="00FC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cp:lastPrinted>2021-01-26T16:47:00Z</cp:lastPrinted>
  <dcterms:created xsi:type="dcterms:W3CDTF">2021-04-02T15:35:00Z</dcterms:created>
  <dcterms:modified xsi:type="dcterms:W3CDTF">2021-04-02T15:35:00Z</dcterms:modified>
</cp:coreProperties>
</file>