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Title:</w:t>
      </w:r>
      <w:r w:rsidDel="00000000" w:rsidR="00000000" w:rsidRPr="00000000">
        <w:rPr>
          <w:rtl w:val="0"/>
        </w:rPr>
        <w:t xml:space="preserve"> Short-interval reburning changes fuel structure of boreal forests</w:t>
      </w:r>
    </w:p>
    <w:p w:rsidR="00000000" w:rsidDel="00000000" w:rsidP="00000000" w:rsidRDefault="00000000" w:rsidRPr="00000000" w14:paraId="00000002">
      <w:pPr>
        <w:spacing w:line="360" w:lineRule="auto"/>
        <w:rPr>
          <w:b w:val="1"/>
        </w:rPr>
      </w:pPr>
      <w:r w:rsidDel="00000000" w:rsidR="00000000" w:rsidRPr="00000000">
        <w:rPr>
          <w:b w:val="1"/>
          <w:rtl w:val="0"/>
        </w:rPr>
        <w:t xml:space="preserve">Abstract: </w:t>
      </w:r>
    </w:p>
    <w:p w:rsidR="00000000" w:rsidDel="00000000" w:rsidP="00000000" w:rsidRDefault="00000000" w:rsidRPr="00000000" w14:paraId="00000003">
      <w:pPr>
        <w:spacing w:line="360" w:lineRule="auto"/>
        <w:rPr/>
      </w:pPr>
      <w:r w:rsidDel="00000000" w:rsidR="00000000" w:rsidRPr="00000000">
        <w:rPr>
          <w:rtl w:val="0"/>
        </w:rPr>
        <w:t xml:space="preserve">Increased reburning drives shifts in forest communities from conifer to deciduous species in Interior Alaska, creating questions about future characteristics of boreal fire regimes. Increased presence of deciduous species has been considered a negative feedback to subsequent fire activity due to changes in fuel structure and moisture content, but changes in fire weather and community composition have brought up questions about the strength or longevity of that negative feedback. Here we examine fuel type trends and the limit of the deciduous-flammability feedback by quantifying the effects of reburning on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drying conditions.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2"/>
        <w:spacing w:line="36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6">
      <w:pPr>
        <w:spacing w:line="360" w:lineRule="auto"/>
        <w:rPr/>
      </w:pPr>
      <w:r w:rsidDel="00000000" w:rsidR="00000000" w:rsidRPr="00000000">
        <w:rPr>
          <w:rtl w:val="0"/>
        </w:rPr>
        <w:t xml:space="preserve">Continued reburning under shortening fire intervals in Interior Alaska drive stand-level transitions from conifer-dominated forests to deciduous shrublands and grasslands (Hayes and Buma 2021)</w:t>
      </w:r>
      <w:sdt>
        <w:sdtPr>
          <w:tag w:val="goog_rdk_0"/>
        </w:sdtPr>
        <w:sdtContent>
          <w:commentRangeStart w:id="0"/>
        </w:sdtContent>
      </w:sdt>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Future characteristics of the boreal fire regime and of boreal forests themselves remain unclear under those circumstances. An increased presence of deciduous species may enable a negative feedback to future fire, as deciduous communities in the boreal are typically considered less flammable. However, both the strength and the duration of a deciduous negative feedback remain unclear. Evidence exists to suggest the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Several lines of evidence point to a weakening or override of the hypothesized deciduous feedback. First, modern patterns of burning, when viewed in context to paleoecological records, suggest the deciduous feedback has been overridden: Kelly et al. 2013 in a synthesis of paleoecological records suggest that present fire regimes may have surpassed the proposed vegetation-induced limits </w:t>
      </w:r>
      <w:r w:rsidDel="00000000" w:rsidR="00000000" w:rsidRPr="00000000">
        <w:rPr>
          <w:color w:val="ff0000"/>
          <w:rtl w:val="0"/>
        </w:rPr>
        <w:t xml:space="preserve">based on … </w:t>
      </w:r>
      <w:r w:rsidDel="00000000" w:rsidR="00000000" w:rsidRPr="00000000">
        <w:rPr>
          <w:rtl w:val="0"/>
        </w:rPr>
        <w:t xml:space="preserve">. Shifting community types may have enabled patterns of fire to overcome previous feedbacks to burning: paleoecological community types are not analogous to modern emerging deciduous communities in Alaska. According to local lacustrine pollen records, past boreal environments were dominated by birch (Higuera et al. 2008) while recent studies have found alder, aspen, and even willow in dominant quantities in modern boreal forests, particularly after multiple reburns (Hayes and Buma 2021).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Secondly, preliminary observations of emerging deciduous landscapes (Hayes and Buma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 ), and that specific modern empirical data on the spatial distribution of fuel elements is required to both evaluate the presence of a deciduous feedback and to inform future management directions.</w:t>
      </w:r>
    </w:p>
    <w:p w:rsidR="00000000" w:rsidDel="00000000" w:rsidP="00000000" w:rsidRDefault="00000000" w:rsidRPr="00000000" w14:paraId="0000000B">
      <w:pPr>
        <w:spacing w:line="360" w:lineRule="auto"/>
        <w:rPr/>
      </w:pPr>
      <w:r w:rsidDel="00000000" w:rsidR="00000000" w:rsidRPr="00000000">
        <w:rPr>
          <w:rtl w:val="0"/>
        </w:rPr>
        <w:br w:type="textWrapping"/>
        <w:t xml:space="preserve">Finally,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sdtPr>
        <w:sdtContent>
          <w:commentRangeStart w:id="1"/>
        </w:sdtContent>
      </w:sdt>
      <w:r w:rsidDel="00000000" w:rsidR="00000000" w:rsidRPr="00000000">
        <w:rPr>
          <w:rtl w:val="0"/>
        </w:rPr>
        <w:t xml:space="preserve">Todd and Jewkes 2006</w:t>
      </w:r>
      <w:commentRangeEnd w:id="1"/>
      <w:r w:rsidDel="00000000" w:rsidR="00000000" w:rsidRPr="00000000">
        <w:commentReference w:id="1"/>
      </w:r>
      <w:r w:rsidDel="00000000" w:rsidR="00000000" w:rsidRPr="00000000">
        <w:rPr>
          <w:rtl w:val="0"/>
        </w:rPr>
        <w:t xml:space="preserve">). During those record-breaking seasons, fires burned spruce and deciduous stands at similar frequencies (Kasischke et al. 2010). This pattern of burning suggests that deciduous stands can burn under modern extreme conditions. As extreme fire seasons (like the ones in 2004 and 2005) are expected to increase with increasing warm and dry summers (Balshi et al. 2009), it is possible that emerging deciduous stands will not be exempt from future fire activity and may burn in ways that diverge from past patterns. Understanding the future characteristics of boreal fire regimes requires evaluating the strength of a potential negative feedback to burning driven by increasing presence of deciduous species under modern climatic and vegetation conditions.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color w:val="ff0000"/>
        </w:rPr>
      </w:pPr>
      <w:bookmarkStart w:colFirst="0" w:colLast="0" w:name="_heading=h.30j0zll" w:id="1"/>
      <w:bookmarkEnd w:id="1"/>
      <w:r w:rsidDel="00000000" w:rsidR="00000000" w:rsidRPr="00000000">
        <w:rPr>
          <w:rtl w:val="0"/>
        </w:rPr>
        <w:t xml:space="preserve">Research on interactions between fires in other systems suggests that legacy effects of previous fires interact strongly with subsequent fires to shape future forest composition and structure (lots, but Harris eat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Del="00000000" w:rsidR="00000000" w:rsidRPr="00000000">
        <w:rPr>
          <w:color w:val="ff0000"/>
          <w:rtl w:val="0"/>
        </w:rPr>
        <w:t xml:space="preserve"> [right now does not tie in well with negative feedback framing, but feels important - either tie in better or move to discussion]</w:t>
      </w:r>
    </w:p>
    <w:p w:rsidR="00000000" w:rsidDel="00000000" w:rsidP="00000000" w:rsidRDefault="00000000" w:rsidRPr="00000000" w14:paraId="0000000E">
      <w:pPr>
        <w:spacing w:line="360" w:lineRule="auto"/>
        <w:rPr>
          <w:smallCaps w:val="0"/>
          <w:color w:val="000000"/>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To examine the relationship between community type and fuel-scapes as driven by shortening fire intervals, we examined fine-scale fuel loads in reburned stands in Interior Alaska before modeling fire behavior in stands with differing numbers of short interval fires.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This study has two objectives: 1) evaluate how the fuel-scape (fuel composition, density, and distribution) changes with increasing short-interval reburns while considering differences between upland and lowland contexts and 2) compare modeled fire rate of spread and biomass consumed to ground metrics collected in (1). To that effect, we ask 3 specific research questions: 1) how does the abundance of CWD change with continued reburning? 2) how does the connectivity of fuels change with continued reburning? 3) do the trends in fuel patterns identified in 1 and 2 lead to differing trends in modeled fire rate spread?</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In contrast to previous studies that examine the distribution of fuel elements after a single fire event, here we assess fuel-scapes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community type, given the difference in stand structure created by different dominating vegetation.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heading=h.1fob9te" w:id="2"/>
      <w:bookmarkEnd w:id="2"/>
      <w:r w:rsidDel="00000000" w:rsidR="00000000" w:rsidRPr="00000000">
        <w:rPr>
          <w:rtl w:val="0"/>
        </w:rPr>
        <w:t xml:space="preserve">Methods</w:t>
      </w:r>
    </w:p>
    <w:p w:rsidR="00000000" w:rsidDel="00000000" w:rsidP="00000000" w:rsidRDefault="00000000" w:rsidRPr="00000000" w14:paraId="00000016">
      <w:pPr>
        <w:pStyle w:val="Heading3"/>
        <w:spacing w:line="360" w:lineRule="auto"/>
        <w:rPr/>
      </w:pPr>
      <w:bookmarkStart w:colFirst="0" w:colLast="0" w:name="_heading=h.ytacy9q4d9bn" w:id="3"/>
      <w:bookmarkEnd w:id="3"/>
      <w:r w:rsidDel="00000000" w:rsidR="00000000" w:rsidRPr="00000000">
        <w:rPr>
          <w:rtl w:val="0"/>
        </w:rPr>
        <w:t xml:space="preserve">Study Area</w:t>
      </w:r>
    </w:p>
    <w:p w:rsidR="00000000" w:rsidDel="00000000" w:rsidP="00000000" w:rsidRDefault="00000000" w:rsidRPr="00000000" w14:paraId="00000017">
      <w:pPr>
        <w:spacing w:line="360" w:lineRule="auto"/>
        <w:rPr/>
      </w:pPr>
      <w:r w:rsidDel="00000000" w:rsidR="00000000" w:rsidRPr="00000000">
        <w:rPr>
          <w:rtl w:val="0"/>
        </w:rPr>
        <w:t xml:space="preserve">To investigate the role of reburns in altering spatial distributions of fuel, we sampled spatial patterns of fuel abundance and distribution in two sites in Interior Alaska. Each site has experienced between 1-3 fires within &gt;30-year intervals and between both locations, 42 plots were established randomly within burn perimeters. 8 additional plots were established in unburned remnants as a reference of assumed pre-fire conditions.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3"/>
        <w:spacing w:line="360" w:lineRule="auto"/>
        <w:rPr/>
      </w:pPr>
      <w:bookmarkStart w:colFirst="0" w:colLast="0" w:name="_heading=h.qso6pelaa3zp" w:id="4"/>
      <w:bookmarkEnd w:id="4"/>
      <w:r w:rsidDel="00000000" w:rsidR="00000000" w:rsidRPr="00000000">
        <w:rPr>
          <w:rtl w:val="0"/>
        </w:rPr>
        <w:t xml:space="preserve">Field Sampling</w:t>
      </w:r>
    </w:p>
    <w:p w:rsidR="00000000" w:rsidDel="00000000" w:rsidP="00000000" w:rsidRDefault="00000000" w:rsidRPr="00000000" w14:paraId="0000001A">
      <w:pPr>
        <w:spacing w:line="360" w:lineRule="auto"/>
        <w:rPr>
          <w:color w:val="4472c4"/>
        </w:rPr>
      </w:pPr>
      <w:r w:rsidDel="00000000" w:rsidR="00000000" w:rsidRPr="00000000">
        <w:rPr>
          <w:rtl w:val="0"/>
        </w:rP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sidDel="00000000" w:rsidR="00000000" w:rsidRPr="00000000">
        <w:rPr>
          <w:color w:val="4472c4"/>
          <w:rtl w:val="0"/>
        </w:rPr>
        <w:t xml:space="preserve">Total fuel loading (tons/ha) was calculated…</w:t>
      </w:r>
    </w:p>
    <w:p w:rsidR="00000000" w:rsidDel="00000000" w:rsidP="00000000" w:rsidRDefault="00000000" w:rsidRPr="00000000" w14:paraId="0000001B">
      <w:pPr>
        <w:spacing w:line="360" w:lineRule="auto"/>
        <w:rPr>
          <w:color w:val="70ad47"/>
        </w:rPr>
      </w:pPr>
      <w:r w:rsidDel="00000000" w:rsidR="00000000" w:rsidRPr="00000000">
        <w:rPr>
          <w:color w:val="70ad47"/>
          <w:rtl w:val="0"/>
        </w:rPr>
        <w:br w:type="textWrapping"/>
      </w:r>
      <w:r w:rsidDel="00000000" w:rsidR="00000000" w:rsidRPr="00000000">
        <w:rPr>
          <w:color w:val="000000"/>
          <w:rtl w:val="0"/>
        </w:rPr>
        <w:t xml:space="preserve">Fuel depth was measured by recording height of the tallest vegetation connected continuously to the forest floor across 2-meter increments of the Brown’s transect line</w:t>
      </w:r>
      <w:r w:rsidDel="00000000" w:rsidR="00000000" w:rsidRPr="00000000">
        <w:rPr>
          <w:color w:val="4472c4"/>
          <w:rtl w:val="0"/>
        </w:rPr>
        <w:t xml:space="preserve">. Fine fuel loading… (tons/ha)… </w:t>
      </w:r>
      <w:r w:rsidDel="00000000" w:rsidR="00000000" w:rsidRPr="00000000">
        <w:rPr>
          <w:rtl w:val="0"/>
        </w:rPr>
      </w:r>
    </w:p>
    <w:p w:rsidR="00000000" w:rsidDel="00000000" w:rsidP="00000000" w:rsidRDefault="00000000" w:rsidRPr="00000000" w14:paraId="0000001C">
      <w:pPr>
        <w:spacing w:line="360" w:lineRule="auto"/>
        <w:rPr>
          <w:color w:val="70ad47"/>
        </w:rPr>
      </w:pPr>
      <w:r w:rsidDel="00000000" w:rsidR="00000000" w:rsidRPr="00000000">
        <w:rPr>
          <w:rtl w:val="0"/>
        </w:rPr>
      </w:r>
    </w:p>
    <w:p w:rsidR="00000000" w:rsidDel="00000000" w:rsidP="00000000" w:rsidRDefault="00000000" w:rsidRPr="00000000" w14:paraId="0000001D">
      <w:pPr>
        <w:spacing w:line="360" w:lineRule="auto"/>
        <w:rPr>
          <w:color w:val="000000"/>
        </w:rPr>
      </w:pPr>
      <w:r w:rsidDel="00000000" w:rsidR="00000000" w:rsidRPr="00000000">
        <w:rPr>
          <w:color w:val="000000"/>
          <w:rtl w:val="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sdtPr>
        <w:sdtContent>
          <w:commentRangeStart w:id="2"/>
        </w:sdtContent>
      </w:sdt>
      <w:r w:rsidDel="00000000" w:rsidR="00000000" w:rsidRPr="00000000">
        <w:rPr>
          <w:color w:val="000000"/>
          <w:rtl w:val="0"/>
        </w:rPr>
        <w:t xml:space="preserve">The 3D fuels sampling protocol uses a 3D rectangular sampling frame (2x2x1 meters large) to collect fuel data at the scale of the entire frame (0.25 m</w:t>
      </w:r>
      <w:r w:rsidDel="00000000" w:rsidR="00000000" w:rsidRPr="00000000">
        <w:rPr>
          <w:color w:val="000000"/>
          <w:vertAlign w:val="superscript"/>
          <w:rtl w:val="0"/>
        </w:rPr>
        <w:t xml:space="preserve">3</w:t>
      </w:r>
      <w:r w:rsidDel="00000000" w:rsidR="00000000" w:rsidRPr="00000000">
        <w:rPr>
          <w:color w:val="000000"/>
          <w:rtl w:val="0"/>
        </w:rPr>
        <w:t xml:space="preserve">), the fuel stratum (0.025 m</w:t>
      </w:r>
      <w:r w:rsidDel="00000000" w:rsidR="00000000" w:rsidRPr="00000000">
        <w:rPr>
          <w:color w:val="000000"/>
          <w:vertAlign w:val="superscript"/>
          <w:rtl w:val="0"/>
        </w:rPr>
        <w:t xml:space="preserve">3</w:t>
      </w:r>
      <w:r w:rsidDel="00000000" w:rsidR="00000000" w:rsidRPr="00000000">
        <w:rPr>
          <w:color w:val="000000"/>
          <w:rtl w:val="0"/>
        </w:rPr>
        <w:t xml:space="preserve">) and the individual voxel (0.001 m</w:t>
      </w:r>
      <w:r w:rsidDel="00000000" w:rsidR="00000000" w:rsidRPr="00000000">
        <w:rPr>
          <w:color w:val="000000"/>
          <w:vertAlign w:val="superscript"/>
          <w:rtl w:val="0"/>
        </w:rPr>
        <w:t xml:space="preserve">3</w:t>
      </w:r>
      <w:r w:rsidDel="00000000" w:rsidR="00000000" w:rsidRPr="00000000">
        <w:rPr>
          <w:color w:val="000000"/>
          <w:rtl w:val="0"/>
        </w:rPr>
        <w:t xml:space="preserve">). </w:t>
      </w:r>
      <w:commentRangeEnd w:id="2"/>
      <w:r w:rsidDel="00000000" w:rsidR="00000000" w:rsidRPr="00000000">
        <w:commentReference w:id="2"/>
      </w:r>
      <w:r w:rsidDel="00000000" w:rsidR="00000000" w:rsidRPr="00000000">
        <w:rPr>
          <w:color w:val="000000"/>
          <w:rtl w:val="0"/>
        </w:rPr>
        <w:t xml:space="preserve">We randomly placed 10 3D sampling frames within each plot, recording presence and absence of all </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color w:val="000000"/>
          <w:rtl w:val="0"/>
        </w:rPr>
        <w:t xml:space="preserve">fuel types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 (1/10/100/1000-hour fuels, forbs, shrubs, graminoids, feathermoss) within each voxel cell (n = 16). We also recorded the dominant ground cover within each sampling frame. </w:t>
      </w:r>
    </w:p>
    <w:p w:rsidR="00000000" w:rsidDel="00000000" w:rsidP="00000000" w:rsidRDefault="00000000" w:rsidRPr="00000000" w14:paraId="0000001E">
      <w:pPr>
        <w:spacing w:line="360" w:lineRule="auto"/>
        <w:rPr>
          <w:color w:val="000000"/>
        </w:rPr>
      </w:pPr>
      <w:r w:rsidDel="00000000" w:rsidR="00000000" w:rsidRPr="00000000">
        <w:rPr>
          <w:rtl w:val="0"/>
        </w:rPr>
      </w:r>
    </w:p>
    <w:p w:rsidR="00000000" w:rsidDel="00000000" w:rsidP="00000000" w:rsidRDefault="00000000" w:rsidRPr="00000000" w14:paraId="0000001F">
      <w:pPr>
        <w:spacing w:line="360" w:lineRule="auto"/>
        <w:rPr>
          <w:color w:val="000000"/>
        </w:rPr>
      </w:pPr>
      <w:r w:rsidDel="00000000" w:rsidR="00000000" w:rsidRPr="00000000">
        <w:rPr>
          <w:color w:val="000000"/>
          <w:rtl w:val="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for each species across each plot (CITE).  </w:t>
      </w:r>
    </w:p>
    <w:p w:rsidR="00000000" w:rsidDel="00000000" w:rsidP="00000000" w:rsidRDefault="00000000" w:rsidRPr="00000000" w14:paraId="00000020">
      <w:pPr>
        <w:spacing w:line="360" w:lineRule="auto"/>
        <w:rPr>
          <w:color w:val="000000"/>
        </w:rPr>
      </w:pPr>
      <w:r w:rsidDel="00000000" w:rsidR="00000000" w:rsidRPr="00000000">
        <w:rPr>
          <w:rtl w:val="0"/>
        </w:rPr>
      </w:r>
    </w:p>
    <w:p w:rsidR="00000000" w:rsidDel="00000000" w:rsidP="00000000" w:rsidRDefault="00000000" w:rsidRPr="00000000" w14:paraId="00000021">
      <w:pPr>
        <w:spacing w:line="360" w:lineRule="auto"/>
        <w:rPr>
          <w:color w:val="000000"/>
        </w:rPr>
      </w:pPr>
      <w:r w:rsidDel="00000000" w:rsidR="00000000" w:rsidRPr="00000000">
        <w:rPr>
          <w:color w:val="000000"/>
          <w:rtl w:val="0"/>
        </w:rPr>
        <w:t xml:space="preserve">We estimated total biomass of each species using a suite of allometric equations (copy over the specific ones from biomass draft). </w:t>
      </w:r>
    </w:p>
    <w:p w:rsidR="00000000" w:rsidDel="00000000" w:rsidP="00000000" w:rsidRDefault="00000000" w:rsidRPr="00000000" w14:paraId="00000022">
      <w:pPr>
        <w:spacing w:line="360" w:lineRule="auto"/>
        <w:rPr>
          <w:color w:val="000000"/>
        </w:rPr>
      </w:pPr>
      <w:r w:rsidDel="00000000" w:rsidR="00000000" w:rsidRPr="00000000">
        <w:rPr>
          <w:rtl w:val="0"/>
        </w:rPr>
      </w:r>
    </w:p>
    <w:p w:rsidR="00000000" w:rsidDel="00000000" w:rsidP="00000000" w:rsidRDefault="00000000" w:rsidRPr="00000000" w14:paraId="00000023">
      <w:pPr>
        <w:pStyle w:val="Heading3"/>
        <w:spacing w:line="360" w:lineRule="auto"/>
        <w:rPr/>
      </w:pPr>
      <w:bookmarkStart w:colFirst="0" w:colLast="0" w:name="_heading=h.lvbk36hgcrdm" w:id="5"/>
      <w:bookmarkEnd w:id="5"/>
      <w:r w:rsidDel="00000000" w:rsidR="00000000" w:rsidRPr="00000000">
        <w:rPr>
          <w:rtl w:val="0"/>
        </w:rPr>
        <w:t xml:space="preserve">Fire behavior modeling</w:t>
      </w:r>
    </w:p>
    <w:p w:rsidR="00000000" w:rsidDel="00000000" w:rsidP="00000000" w:rsidRDefault="00000000" w:rsidRPr="00000000" w14:paraId="00000024">
      <w:pPr>
        <w:spacing w:line="360" w:lineRule="auto"/>
        <w:rPr/>
      </w:pPr>
      <w:r w:rsidDel="00000000" w:rsidR="00000000" w:rsidRPr="00000000">
        <w:rPr>
          <w:rtl w:val="0"/>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color w:val="ff0000"/>
        </w:rPr>
      </w:pPr>
      <w:r w:rsidDel="00000000" w:rsidR="00000000" w:rsidRPr="00000000">
        <w:rPr>
          <w:rtl w:val="0"/>
        </w:rP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r w:rsidDel="00000000" w:rsidR="00000000" w:rsidRPr="00000000">
        <w:rPr>
          <w:rtl w:val="0"/>
        </w:rPr>
      </w:r>
    </w:p>
    <w:p w:rsidR="00000000" w:rsidDel="00000000" w:rsidP="00000000" w:rsidRDefault="00000000" w:rsidRPr="00000000" w14:paraId="00000027">
      <w:pPr>
        <w:spacing w:line="360" w:lineRule="auto"/>
        <w:rPr>
          <w:color w:val="000000"/>
        </w:rPr>
      </w:pPr>
      <w:r w:rsidDel="00000000" w:rsidR="00000000" w:rsidRPr="00000000">
        <w:rPr>
          <w:rtl w:val="0"/>
        </w:rPr>
      </w:r>
    </w:p>
    <w:p w:rsidR="00000000" w:rsidDel="00000000" w:rsidP="00000000" w:rsidRDefault="00000000" w:rsidRPr="00000000" w14:paraId="00000028">
      <w:pPr>
        <w:pStyle w:val="Heading3"/>
        <w:spacing w:line="360" w:lineRule="auto"/>
        <w:rPr/>
      </w:pPr>
      <w:bookmarkStart w:colFirst="0" w:colLast="0" w:name="_heading=h.1ky2guarpywx" w:id="6"/>
      <w:bookmarkEnd w:id="6"/>
      <w:r w:rsidDel="00000000" w:rsidR="00000000" w:rsidRPr="00000000">
        <w:rPr>
          <w:rtl w:val="0"/>
        </w:rPr>
        <w:t xml:space="preserve">Data Analysis</w:t>
      </w:r>
    </w:p>
    <w:p w:rsidR="00000000" w:rsidDel="00000000" w:rsidP="00000000" w:rsidRDefault="00000000" w:rsidRPr="00000000" w14:paraId="00000029">
      <w:pPr>
        <w:spacing w:line="360" w:lineRule="auto"/>
        <w:rPr>
          <w:color w:val="000000"/>
        </w:rPr>
      </w:pPr>
      <w:r w:rsidDel="00000000" w:rsidR="00000000" w:rsidRPr="00000000">
        <w:rPr>
          <w:color w:val="000000"/>
          <w:rtl w:val="0"/>
        </w:rPr>
        <w:t xml:space="preserve">We calculated and compared effect sizes of slope, aspect, and fire intervals on structural heterogeneity via generalized mixed modeling and boosted regression trees. … </w:t>
      </w:r>
    </w:p>
    <w:p w:rsidR="00000000" w:rsidDel="00000000" w:rsidP="00000000" w:rsidRDefault="00000000" w:rsidRPr="00000000" w14:paraId="0000002A">
      <w:pPr>
        <w:spacing w:line="360" w:lineRule="auto"/>
        <w:rPr>
          <w:b w:val="1"/>
        </w:rPr>
      </w:pPr>
      <w:r w:rsidDel="00000000" w:rsidR="00000000" w:rsidRPr="00000000">
        <w:rPr>
          <w:rtl w:val="0"/>
        </w:rPr>
      </w:r>
    </w:p>
    <w:p w:rsidR="00000000" w:rsidDel="00000000" w:rsidP="00000000" w:rsidRDefault="00000000" w:rsidRPr="00000000" w14:paraId="0000002B">
      <w:pPr>
        <w:pStyle w:val="Heading2"/>
        <w:spacing w:line="360" w:lineRule="auto"/>
        <w:rPr/>
      </w:pPr>
      <w:bookmarkStart w:colFirst="0" w:colLast="0" w:name="_heading=h.6alijpchz6fi" w:id="7"/>
      <w:bookmarkEnd w:id="7"/>
      <w:r w:rsidDel="00000000" w:rsidR="00000000" w:rsidRPr="00000000">
        <w:rPr>
          <w:rtl w:val="0"/>
        </w:rPr>
        <w:t xml:space="preserve">Results </w:t>
      </w:r>
    </w:p>
    <w:p w:rsidR="00000000" w:rsidDel="00000000" w:rsidP="00000000" w:rsidRDefault="00000000" w:rsidRPr="00000000" w14:paraId="0000002C">
      <w:pPr>
        <w:pStyle w:val="Heading3"/>
        <w:spacing w:line="360" w:lineRule="auto"/>
        <w:rPr/>
      </w:pPr>
      <w:bookmarkStart w:colFirst="0" w:colLast="0" w:name="_heading=h.kauadt4jv3dr" w:id="8"/>
      <w:bookmarkEnd w:id="8"/>
      <w:r w:rsidDel="00000000" w:rsidR="00000000" w:rsidRPr="00000000">
        <w:rPr>
          <w:rtl w:val="0"/>
        </w:rPr>
        <w:t xml:space="preserve">Fuel abundance</w:t>
      </w:r>
    </w:p>
    <w:p w:rsidR="00000000" w:rsidDel="00000000" w:rsidP="00000000" w:rsidRDefault="00000000" w:rsidRPr="00000000" w14:paraId="0000002D">
      <w:pPr>
        <w:spacing w:line="360" w:lineRule="auto"/>
        <w:rPr/>
      </w:pPr>
      <w:r w:rsidDel="00000000" w:rsidR="00000000" w:rsidRPr="00000000">
        <w:rPr>
          <w:rtl w:val="0"/>
        </w:rPr>
        <w:t xml:space="preserve">CWD differed across reburn history, site and size class (Fig. X). Fine fuels (1 and 10 hour fuels) were most abundant in once- and twice-burned plots in both the upland and lowland site, and decreased by a factor of X in thrice-burned plots, declining more in up vs low (?? - check which one / add factor).</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rPr/>
      </w:pPr>
      <w:sdt>
        <w:sdtPr>
          <w:tag w:val="goog_rdk_7"/>
        </w:sdtPr>
        <w:sdtContent>
          <w:commentRangeStart w:id="7"/>
        </w:sdtContent>
      </w:sdt>
      <w:sdt>
        <w:sdtPr>
          <w:tag w:val="goog_rdk_8"/>
        </w:sdtPr>
        <w:sdtContent>
          <w:commentRangeStart w:id="8"/>
        </w:sdtContent>
      </w:sdt>
      <w:r w:rsidDel="00000000" w:rsidR="00000000" w:rsidRPr="00000000">
        <w:rPr>
          <w:b w:val="1"/>
          <w:rtl w:val="0"/>
        </w:rPr>
        <w:t xml:space="preserve">Figure X. Mass of fuel size classes across years since initial fire and between sites according to size classes. </w:t>
      </w:r>
      <w:r w:rsidDel="00000000" w:rsidR="00000000" w:rsidRPr="00000000">
        <w:rPr>
          <w:rtl w:val="0"/>
        </w:rPr>
        <w:t xml:space="preserve">[dots jittered to spread data]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0" distT="0" distL="0" distR="0">
            <wp:extent cx="5943600" cy="3278505"/>
            <wp:effectExtent b="0" l="0" r="0" t="0"/>
            <wp:docPr descr="Chart, scatter chart&#10;&#10;Description automatically generated" id="8" name="image3.png"/>
            <a:graphic>
              <a:graphicData uri="http://schemas.openxmlformats.org/drawingml/2006/picture">
                <pic:pic>
                  <pic:nvPicPr>
                    <pic:cNvPr descr="Chart, scatter chart&#10;&#10;Description automatically generated" id="0" name="image3.png"/>
                    <pic:cNvPicPr preferRelativeResize="0"/>
                  </pic:nvPicPr>
                  <pic:blipFill>
                    <a:blip r:embed="rId9"/>
                    <a:srcRect b="0" l="0" r="0" t="0"/>
                    <a:stretch>
                      <a:fillRect/>
                    </a:stretch>
                  </pic:blipFill>
                  <pic:spPr>
                    <a:xfrm>
                      <a:off x="0" y="0"/>
                      <a:ext cx="5943600" cy="327850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pStyle w:val="Heading3"/>
        <w:spacing w:line="360" w:lineRule="auto"/>
        <w:rPr/>
      </w:pPr>
      <w:bookmarkStart w:colFirst="0" w:colLast="0" w:name="_heading=h.9txb2ord534j" w:id="9"/>
      <w:bookmarkEnd w:id="9"/>
      <w:r w:rsidDel="00000000" w:rsidR="00000000" w:rsidRPr="00000000">
        <w:rPr>
          <w:rtl w:val="0"/>
        </w:rPr>
        <w:t xml:space="preserve">Fuel connectivity </w:t>
      </w:r>
    </w:p>
    <w:p w:rsidR="00000000" w:rsidDel="00000000" w:rsidP="00000000" w:rsidRDefault="00000000" w:rsidRPr="00000000" w14:paraId="00000033">
      <w:pPr>
        <w:spacing w:line="360" w:lineRule="auto"/>
        <w:rPr/>
      </w:pPr>
      <w:r w:rsidDel="00000000" w:rsidR="00000000" w:rsidRPr="00000000">
        <w:rPr>
          <w:rtl w:val="0"/>
        </w:rPr>
        <w:t xml:space="preserve">[describe fuel connectivity trends]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sdt>
        <w:sdtPr>
          <w:tag w:val="goog_rdk_9"/>
        </w:sdtPr>
        <w:sdtContent>
          <w:commentRangeStart w:id="9"/>
        </w:sdtContent>
      </w:sdt>
      <w:r w:rsidDel="00000000" w:rsidR="00000000" w:rsidRPr="00000000">
        <w:rPr>
          <w:b w:val="1"/>
          <w:rtl w:val="0"/>
        </w:rPr>
        <w:t xml:space="preserve">Figure X. Fine fuel heights across interval from first fire and between sites. Tallest height of vegetation measured in 28-m transect lines and averaged across line. </w:t>
      </w:r>
      <w:r w:rsidDel="00000000" w:rsidR="00000000" w:rsidRPr="00000000">
        <w:rPr>
          <w:rtl w:val="0"/>
        </w:rPr>
        <w:t xml:space="preserve">Dots represent outliers.</w:t>
      </w:r>
      <w:r w:rsidDel="00000000" w:rsidR="00000000" w:rsidRPr="00000000">
        <w:rPr>
          <w:b w:val="1"/>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drawing>
          <wp:inline distB="0" distT="0" distL="0" distR="0">
            <wp:extent cx="4029107" cy="3252287"/>
            <wp:effectExtent b="0" l="0" r="0" t="0"/>
            <wp:docPr descr="Chart, scatter chart&#10;&#10;Description automatically generated" id="10" name="image4.png"/>
            <a:graphic>
              <a:graphicData uri="http://schemas.openxmlformats.org/drawingml/2006/picture">
                <pic:pic>
                  <pic:nvPicPr>
                    <pic:cNvPr descr="Chart, scatter chart&#10;&#10;Description automatically generated" id="0" name="image4.png"/>
                    <pic:cNvPicPr preferRelativeResize="0"/>
                  </pic:nvPicPr>
                  <pic:blipFill>
                    <a:blip r:embed="rId10"/>
                    <a:srcRect b="0" l="0" r="0" t="0"/>
                    <a:stretch>
                      <a:fillRect/>
                    </a:stretch>
                  </pic:blipFill>
                  <pic:spPr>
                    <a:xfrm>
                      <a:off x="0" y="0"/>
                      <a:ext cx="4029107" cy="32522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heading=h.cvp1z2fqe0zg" w:id="10"/>
      <w:bookmarkEnd w:id="10"/>
      <w:r w:rsidDel="00000000" w:rsidR="00000000" w:rsidRPr="00000000">
        <w:rPr>
          <w:rtl w:val="0"/>
        </w:rPr>
        <w:t xml:space="preserve">Discussion</w:t>
      </w:r>
    </w:p>
    <w:p w:rsidR="00000000" w:rsidDel="00000000" w:rsidP="00000000" w:rsidRDefault="00000000" w:rsidRPr="00000000" w14:paraId="00000039">
      <w:pPr>
        <w:spacing w:line="360" w:lineRule="auto"/>
        <w:rPr>
          <w:b w:val="1"/>
        </w:rPr>
      </w:pPr>
      <w:r w:rsidDel="00000000" w:rsidR="00000000" w:rsidRPr="00000000">
        <w:rPr>
          <w:rtl w:val="0"/>
        </w:rP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rtl w:val="0"/>
        </w:rPr>
      </w:r>
    </w:p>
    <w:p w:rsidR="00000000" w:rsidDel="00000000" w:rsidP="00000000" w:rsidRDefault="00000000" w:rsidRPr="00000000" w14:paraId="0000003B">
      <w:pPr>
        <w:pStyle w:val="Heading2"/>
        <w:spacing w:line="360" w:lineRule="auto"/>
        <w:rPr/>
      </w:pPr>
      <w:bookmarkStart w:colFirst="0" w:colLast="0" w:name="_heading=h.8nw2kotdx536" w:id="11"/>
      <w:bookmarkEnd w:id="11"/>
      <w:r w:rsidDel="00000000" w:rsidR="00000000" w:rsidRPr="00000000">
        <w:rPr>
          <w:rtl w:val="0"/>
        </w:rPr>
        <w:t xml:space="preserve">Acknowledgements</w:t>
      </w:r>
    </w:p>
    <w:p w:rsidR="00000000" w:rsidDel="00000000" w:rsidP="00000000" w:rsidRDefault="00000000" w:rsidRPr="00000000" w14:paraId="0000003C">
      <w:pPr>
        <w:spacing w:line="360" w:lineRule="auto"/>
        <w:rPr/>
      </w:pPr>
      <w:r w:rsidDel="00000000" w:rsidR="00000000" w:rsidRPr="00000000">
        <w:rPr>
          <w:rtl w:val="0"/>
        </w:rPr>
        <w:t xml:space="preserve">This study was funded by support from the NSF Polar Services Office () and a Graduate Innovation Award from the Joint Fire Science Program (ID 19-1-01-43).</w:t>
      </w:r>
    </w:p>
    <w:p w:rsidR="00000000" w:rsidDel="00000000" w:rsidP="00000000" w:rsidRDefault="00000000" w:rsidRPr="00000000" w14:paraId="0000003D">
      <w:pPr>
        <w:pStyle w:val="Heading2"/>
        <w:spacing w:line="360" w:lineRule="auto"/>
        <w:rPr>
          <w:rFonts w:ascii="Calibri" w:cs="Calibri" w:eastAsia="Calibri" w:hAnsi="Calibri"/>
        </w:rPr>
      </w:pPr>
      <w:bookmarkStart w:colFirst="0" w:colLast="0" w:name="_heading=h.3znysh7" w:id="12"/>
      <w:bookmarkEnd w:id="12"/>
      <w:r w:rsidDel="00000000" w:rsidR="00000000" w:rsidRPr="00000000">
        <w:rPr>
          <w:rFonts w:ascii="Calibri" w:cs="Calibri" w:eastAsia="Calibri" w:hAnsi="Calibri"/>
          <w:rtl w:val="0"/>
        </w:rPr>
        <w:t xml:space="preserve">References </w:t>
      </w:r>
    </w:p>
    <w:p w:rsidR="00000000" w:rsidDel="00000000" w:rsidP="00000000" w:rsidRDefault="00000000" w:rsidRPr="00000000" w14:paraId="0000003E">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Astrup, R., Bernier, P.Y., Genet, H., Lutz, D.A. and Bright, R.M., 2018. A sensible climate solution for the boreal forest. </w:t>
      </w:r>
      <w:r w:rsidDel="00000000" w:rsidR="00000000" w:rsidRPr="00000000">
        <w:rPr>
          <w:i w:val="1"/>
          <w:color w:val="000000"/>
          <w:sz w:val="20"/>
          <w:szCs w:val="20"/>
          <w:highlight w:val="white"/>
          <w:rtl w:val="0"/>
        </w:rPr>
        <w:t xml:space="preserve">Nature Climate Change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8</w:t>
      </w:r>
      <w:r w:rsidDel="00000000" w:rsidR="00000000" w:rsidRPr="00000000">
        <w:rPr>
          <w:color w:val="000000"/>
          <w:sz w:val="20"/>
          <w:szCs w:val="20"/>
          <w:highlight w:val="white"/>
          <w:rtl w:val="0"/>
        </w:rPr>
        <w:t xml:space="preserve">(1), pp.11-12.</w:t>
      </w:r>
    </w:p>
    <w:p w:rsidR="00000000" w:rsidDel="00000000" w:rsidP="00000000" w:rsidRDefault="00000000" w:rsidRPr="00000000" w14:paraId="0000003F">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Balshi, M.S., McGUIRE, A.D., Duffy, P., Flannigan, M., Walsh, J. and Melillo, J., 2009. Assessing the response of area burned to changing climate in western boreal North America using a Multivariate Adaptive Regression Splines (MARS) approach. Global Change Biology, 15(3), pp.578-600.</w:t>
      </w:r>
    </w:p>
    <w:p w:rsidR="00000000" w:rsidDel="00000000" w:rsidP="00000000" w:rsidRDefault="00000000" w:rsidRPr="00000000" w14:paraId="00000040">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Brown, J.K., 1974. Handbook for inventorying downed woody material. </w:t>
      </w:r>
      <w:r w:rsidDel="00000000" w:rsidR="00000000" w:rsidRPr="00000000">
        <w:rPr>
          <w:i w:val="1"/>
          <w:color w:val="000000"/>
          <w:sz w:val="20"/>
          <w:szCs w:val="20"/>
          <w:highlight w:val="white"/>
          <w:rtl w:val="0"/>
        </w:rPr>
        <w:t xml:space="preserve">Gen. Tech. Rep. INT-16. Ogden, UT: US Department of Agriculture, Forest Service, Intermountain Forest and Range Experiment Station. 24 p.</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16</w:t>
      </w:r>
      <w:r w:rsidDel="00000000" w:rsidR="00000000" w:rsidRPr="00000000">
        <w:rPr>
          <w:color w:val="000000"/>
          <w:sz w:val="20"/>
          <w:szCs w:val="20"/>
          <w:highlight w:val="white"/>
          <w:rtl w:val="0"/>
        </w:rPr>
        <w:t xml:space="preserve">.</w:t>
      </w:r>
    </w:p>
    <w:p w:rsidR="00000000" w:rsidDel="00000000" w:rsidP="00000000" w:rsidRDefault="00000000" w:rsidRPr="00000000" w14:paraId="00000041">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Brubaker, L.B., Higuera, P.E., Rupp, T.S., Olson, M.A., Anderson, P.M. and Hu, F.S., 2009. Linking sediment‐charcoal records and ecological modeling to understand causes of fire‐regime change in boreal forests. </w:t>
      </w:r>
      <w:r w:rsidDel="00000000" w:rsidR="00000000" w:rsidRPr="00000000">
        <w:rPr>
          <w:i w:val="1"/>
          <w:color w:val="000000"/>
          <w:sz w:val="20"/>
          <w:szCs w:val="20"/>
          <w:highlight w:val="white"/>
          <w:rtl w:val="0"/>
        </w:rPr>
        <w:t xml:space="preserve">Ecology</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90</w:t>
      </w:r>
      <w:r w:rsidDel="00000000" w:rsidR="00000000" w:rsidRPr="00000000">
        <w:rPr>
          <w:color w:val="000000"/>
          <w:sz w:val="20"/>
          <w:szCs w:val="20"/>
          <w:highlight w:val="white"/>
          <w:rtl w:val="0"/>
        </w:rPr>
        <w:t xml:space="preserve">(7), pp.1788-1801.</w:t>
      </w:r>
    </w:p>
    <w:p w:rsidR="00000000" w:rsidDel="00000000" w:rsidP="00000000" w:rsidRDefault="00000000" w:rsidRPr="00000000" w14:paraId="00000042">
      <w:pPr>
        <w:spacing w:line="360" w:lineRule="auto"/>
        <w:ind w:left="720" w:hanging="720"/>
        <w:rPr>
          <w:color w:val="000000"/>
          <w:sz w:val="20"/>
          <w:szCs w:val="20"/>
        </w:rPr>
      </w:pPr>
      <w:r w:rsidDel="00000000" w:rsidR="00000000" w:rsidRPr="00000000">
        <w:rPr>
          <w:color w:val="000000"/>
          <w:sz w:val="20"/>
          <w:szCs w:val="20"/>
          <w:rtl w:val="0"/>
        </w:rPr>
        <w:t xml:space="preserve">Hardy, C., Heilman, W., Weise, D., Goodrick, S. and Ottmar, R., 2008. Final Report: Fire behavior advancement plan; a plan for addressing physical fire processes within the core fire science portfolio. </w:t>
      </w:r>
      <w:r w:rsidDel="00000000" w:rsidR="00000000" w:rsidRPr="00000000">
        <w:rPr>
          <w:i w:val="1"/>
          <w:color w:val="000000"/>
          <w:sz w:val="20"/>
          <w:szCs w:val="20"/>
          <w:rtl w:val="0"/>
        </w:rPr>
        <w:t xml:space="preserve">Joint Fire Science Program</w:t>
      </w:r>
      <w:r w:rsidDel="00000000" w:rsidR="00000000" w:rsidRPr="00000000">
        <w:rPr>
          <w:color w:val="000000"/>
          <w:sz w:val="20"/>
          <w:szCs w:val="20"/>
          <w:rtl w:val="0"/>
        </w:rPr>
        <w:t xml:space="preserve">.</w:t>
      </w:r>
    </w:p>
    <w:p w:rsidR="00000000" w:rsidDel="00000000" w:rsidP="00000000" w:rsidRDefault="00000000" w:rsidRPr="00000000" w14:paraId="00000043">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Hawley, C.M., Loudermilk, E.L., Rowell, E.M. and Pokswinski, S., 2018. A novel approach to fuel biomass sampling for 3D fuel characterization. </w:t>
      </w:r>
      <w:r w:rsidDel="00000000" w:rsidR="00000000" w:rsidRPr="00000000">
        <w:rPr>
          <w:i w:val="1"/>
          <w:color w:val="000000"/>
          <w:sz w:val="20"/>
          <w:szCs w:val="20"/>
          <w:highlight w:val="white"/>
          <w:rtl w:val="0"/>
        </w:rPr>
        <w:t xml:space="preserve">MethodsX</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5</w:t>
      </w:r>
      <w:r w:rsidDel="00000000" w:rsidR="00000000" w:rsidRPr="00000000">
        <w:rPr>
          <w:color w:val="000000"/>
          <w:sz w:val="20"/>
          <w:szCs w:val="20"/>
          <w:highlight w:val="white"/>
          <w:rtl w:val="0"/>
        </w:rPr>
        <w:t xml:space="preserve">, pp.1597-1604.</w:t>
      </w:r>
    </w:p>
    <w:p w:rsidR="00000000" w:rsidDel="00000000" w:rsidP="00000000" w:rsidRDefault="00000000" w:rsidRPr="00000000" w14:paraId="00000044">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Hély, C., Bergeron, Y. and Flannigan, M.D., 2000. Effects of stand composition on fire hazard in mixed‐wood Canadian boreal forest. </w:t>
      </w:r>
      <w:r w:rsidDel="00000000" w:rsidR="00000000" w:rsidRPr="00000000">
        <w:rPr>
          <w:i w:val="1"/>
          <w:color w:val="000000"/>
          <w:sz w:val="20"/>
          <w:szCs w:val="20"/>
          <w:highlight w:val="white"/>
          <w:rtl w:val="0"/>
        </w:rPr>
        <w:t xml:space="preserve">Journal of Vegetation Science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11</w:t>
      </w:r>
      <w:r w:rsidDel="00000000" w:rsidR="00000000" w:rsidRPr="00000000">
        <w:rPr>
          <w:color w:val="000000"/>
          <w:sz w:val="20"/>
          <w:szCs w:val="20"/>
          <w:highlight w:val="white"/>
          <w:rtl w:val="0"/>
        </w:rPr>
        <w:t xml:space="preserve">(6), pp.813-824.</w:t>
      </w:r>
    </w:p>
    <w:p w:rsidR="00000000" w:rsidDel="00000000" w:rsidP="00000000" w:rsidRDefault="00000000" w:rsidRPr="00000000" w14:paraId="00000045">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Higuera, P.E., Brubaker, L.B., Anderson, P.M., Brown, T.A., Kennedy, A.T. and Hu, F.S., 2008. Frequent fires in ancient shrub tundra: implications of paleorecords for arctic environmental change. </w:t>
      </w:r>
      <w:r w:rsidDel="00000000" w:rsidR="00000000" w:rsidRPr="00000000">
        <w:rPr>
          <w:i w:val="1"/>
          <w:color w:val="000000"/>
          <w:sz w:val="20"/>
          <w:szCs w:val="20"/>
          <w:highlight w:val="white"/>
          <w:rtl w:val="0"/>
        </w:rPr>
        <w:t xml:space="preserve">PloS one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3</w:t>
      </w:r>
      <w:r w:rsidDel="00000000" w:rsidR="00000000" w:rsidRPr="00000000">
        <w:rPr>
          <w:color w:val="000000"/>
          <w:sz w:val="20"/>
          <w:szCs w:val="20"/>
          <w:highlight w:val="white"/>
          <w:rtl w:val="0"/>
        </w:rPr>
        <w:t xml:space="preserve">(3).</w:t>
      </w:r>
    </w:p>
    <w:tbl>
      <w:tblPr>
        <w:tblStyle w:val="Table1"/>
        <w:tblW w:w="6564.0" w:type="dxa"/>
        <w:jc w:val="left"/>
        <w:tblInd w:w="0.0" w:type="pct"/>
        <w:tblLayout w:type="fixed"/>
        <w:tblLook w:val="0400"/>
      </w:tblPr>
      <w:tblGrid>
        <w:gridCol w:w="6564"/>
        <w:tblGridChange w:id="0">
          <w:tblGrid>
            <w:gridCol w:w="6564"/>
          </w:tblGrid>
        </w:tblGridChange>
      </w:tblGrid>
      <w:tr>
        <w:tc>
          <w:tcPr>
            <w:shd w:fill="ffffff" w:val="clear"/>
            <w:vAlign w:val="center"/>
          </w:tcPr>
          <w:p w:rsidR="00000000" w:rsidDel="00000000" w:rsidP="00000000" w:rsidRDefault="00000000" w:rsidRPr="00000000" w14:paraId="00000046">
            <w:pPr>
              <w:spacing w:line="360" w:lineRule="auto"/>
              <w:rPr>
                <w:color w:val="000000"/>
                <w:sz w:val="20"/>
                <w:szCs w:val="20"/>
              </w:rPr>
            </w:pPr>
            <w:r w:rsidDel="00000000" w:rsidR="00000000" w:rsidRPr="00000000">
              <w:rPr>
                <w:rtl w:val="0"/>
              </w:rPr>
            </w:r>
          </w:p>
        </w:tc>
      </w:tr>
    </w:tbl>
    <w:p w:rsidR="00000000" w:rsidDel="00000000" w:rsidP="00000000" w:rsidRDefault="00000000" w:rsidRPr="00000000" w14:paraId="00000047">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Hoy, E.E., Turetsky, M.R. and Kasischke, E.S., 2016. More frequent burning increases vulnerability of Alaskan boreal black spruce forests. </w:t>
      </w:r>
      <w:r w:rsidDel="00000000" w:rsidR="00000000" w:rsidRPr="00000000">
        <w:rPr>
          <w:i w:val="1"/>
          <w:color w:val="000000"/>
          <w:sz w:val="20"/>
          <w:szCs w:val="20"/>
          <w:highlight w:val="white"/>
          <w:rtl w:val="0"/>
        </w:rPr>
        <w:t xml:space="preserve">Environmental Research Letters</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11</w:t>
      </w:r>
      <w:r w:rsidDel="00000000" w:rsidR="00000000" w:rsidRPr="00000000">
        <w:rPr>
          <w:color w:val="000000"/>
          <w:sz w:val="20"/>
          <w:szCs w:val="20"/>
          <w:highlight w:val="white"/>
          <w:rtl w:val="0"/>
        </w:rPr>
        <w:t xml:space="preserve">(9), p.095001.</w:t>
      </w:r>
    </w:p>
    <w:p w:rsidR="00000000" w:rsidDel="00000000" w:rsidP="00000000" w:rsidRDefault="00000000" w:rsidRPr="00000000" w14:paraId="00000048">
      <w:pPr>
        <w:spacing w:line="360" w:lineRule="auto"/>
        <w:ind w:left="720" w:hanging="720"/>
        <w:rPr>
          <w:color w:val="000000"/>
          <w:sz w:val="20"/>
          <w:szCs w:val="20"/>
        </w:rPr>
      </w:pPr>
      <w:r w:rsidDel="00000000" w:rsidR="00000000" w:rsidRPr="00000000">
        <w:rPr>
          <w:color w:val="000000"/>
          <w:sz w:val="20"/>
          <w:szCs w:val="20"/>
          <w:rtl w:val="0"/>
        </w:rPr>
        <w:t xml:space="preserve">Johnstone, J.F., Hollingsworth, T.N., Chapin, F.S. and Mack, M.C., 2010. Changes in fire regime break the legacy lock on successional trajectories in Alaskan boreal forest. Global Change Biology, 16(4), pp.1281-1295.</w:t>
      </w:r>
    </w:p>
    <w:p w:rsidR="00000000" w:rsidDel="00000000" w:rsidP="00000000" w:rsidRDefault="00000000" w:rsidRPr="00000000" w14:paraId="00000049">
      <w:pPr>
        <w:spacing w:line="360" w:lineRule="auto"/>
        <w:ind w:left="720" w:hanging="720"/>
        <w:rPr>
          <w:color w:val="000000"/>
          <w:sz w:val="20"/>
          <w:szCs w:val="20"/>
        </w:rPr>
      </w:pPr>
      <w:r w:rsidDel="00000000" w:rsidR="00000000" w:rsidRPr="00000000">
        <w:rPr>
          <w:color w:val="000000"/>
          <w:sz w:val="20"/>
          <w:szCs w:val="20"/>
          <w:rtl w:val="0"/>
        </w:rPr>
        <w:t xml:space="preserve">Kasischke, E.S., Verbyla, D.L., Rupp, T.S., McGuire, A.D., Murphy, K.A., Jandt, R., Barnes, J.L., Hoy, E.E., Duffy, P.A., Calef, M. and Turetsky, M.R., 2010. Alaska’s changing fire regime—implications for the vulnerability of its boreal forests. </w:t>
      </w:r>
      <w:r w:rsidDel="00000000" w:rsidR="00000000" w:rsidRPr="00000000">
        <w:rPr>
          <w:i w:val="1"/>
          <w:color w:val="000000"/>
          <w:sz w:val="20"/>
          <w:szCs w:val="20"/>
          <w:rtl w:val="0"/>
        </w:rPr>
        <w:t xml:space="preserve">Canadian Journal of Forest Research</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40</w:t>
      </w:r>
      <w:r w:rsidDel="00000000" w:rsidR="00000000" w:rsidRPr="00000000">
        <w:rPr>
          <w:color w:val="000000"/>
          <w:sz w:val="20"/>
          <w:szCs w:val="20"/>
          <w:rtl w:val="0"/>
        </w:rPr>
        <w:t xml:space="preserve">(7), pp.1313-1324.</w:t>
      </w:r>
    </w:p>
    <w:p w:rsidR="00000000" w:rsidDel="00000000" w:rsidP="00000000" w:rsidRDefault="00000000" w:rsidRPr="00000000" w14:paraId="0000004A">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Kelly, R., Chipman, M.L., Higuera, P.E., Stefanova, I., Brubaker, L.B. and Hu, F.S., 2013. Recent burning of boreal forests exceeds fire regime limits of the past 10,000 years. Proceedings of the National Academy of Sciences, 110(32), pp.13055-13060.</w:t>
      </w:r>
    </w:p>
    <w:p w:rsidR="00000000" w:rsidDel="00000000" w:rsidP="00000000" w:rsidRDefault="00000000" w:rsidRPr="00000000" w14:paraId="0000004B">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Koo, E., Linn, R.R., Pagni, P.J. and Edminster, C.B., 2012. Modelling firebrand transport in wildfires using HIGRAD/FIRETEC. </w:t>
      </w:r>
      <w:r w:rsidDel="00000000" w:rsidR="00000000" w:rsidRPr="00000000">
        <w:rPr>
          <w:i w:val="1"/>
          <w:color w:val="000000"/>
          <w:sz w:val="20"/>
          <w:szCs w:val="20"/>
          <w:highlight w:val="white"/>
          <w:rtl w:val="0"/>
        </w:rPr>
        <w:t xml:space="preserve">International journal of wildland fire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21</w:t>
      </w:r>
      <w:r w:rsidDel="00000000" w:rsidR="00000000" w:rsidRPr="00000000">
        <w:rPr>
          <w:color w:val="000000"/>
          <w:sz w:val="20"/>
          <w:szCs w:val="20"/>
          <w:highlight w:val="white"/>
          <w:rtl w:val="0"/>
        </w:rPr>
        <w:t xml:space="preserve">(4), pp.396-417.</w:t>
      </w:r>
    </w:p>
    <w:p w:rsidR="00000000" w:rsidDel="00000000" w:rsidP="00000000" w:rsidRDefault="00000000" w:rsidRPr="00000000" w14:paraId="0000004C">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Schimmel, J. and Granström, A., 1997. Fuel succession and fire behavior in the Swedish boreal forest.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27</w:t>
      </w:r>
      <w:r w:rsidDel="00000000" w:rsidR="00000000" w:rsidRPr="00000000">
        <w:rPr>
          <w:color w:val="000000"/>
          <w:sz w:val="20"/>
          <w:szCs w:val="20"/>
          <w:highlight w:val="white"/>
          <w:rtl w:val="0"/>
        </w:rPr>
        <w:t xml:space="preserve">(8), pp.1207-1216.</w:t>
      </w:r>
    </w:p>
    <w:p w:rsidR="00000000" w:rsidDel="00000000" w:rsidP="00000000" w:rsidRDefault="00000000" w:rsidRPr="00000000" w14:paraId="0000004D">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Taylor, K.L. and Fonda, R.W., 1990. Woody fuel structure and fire in subalpine fir forests, Olympic National Park, Washington.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20</w:t>
      </w:r>
      <w:r w:rsidDel="00000000" w:rsidR="00000000" w:rsidRPr="00000000">
        <w:rPr>
          <w:color w:val="000000"/>
          <w:sz w:val="20"/>
          <w:szCs w:val="20"/>
          <w:highlight w:val="white"/>
          <w:rtl w:val="0"/>
        </w:rPr>
        <w:t xml:space="preserve">(2), pp.193-199.</w:t>
      </w:r>
    </w:p>
    <w:p w:rsidR="00000000" w:rsidDel="00000000" w:rsidP="00000000" w:rsidRDefault="00000000" w:rsidRPr="00000000" w14:paraId="0000004E">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Todd, S.K. and Jewkes, H.A., 2006. Wildland fire in Alaska: a history of organized fire suppression and management in the last frontier.</w:t>
      </w:r>
    </w:p>
    <w:p w:rsidR="00000000" w:rsidDel="00000000" w:rsidP="00000000" w:rsidRDefault="00000000" w:rsidRPr="00000000" w14:paraId="0000004F">
      <w:pPr>
        <w:spacing w:line="360" w:lineRule="auto"/>
        <w:ind w:left="720" w:hanging="720"/>
        <w:rPr>
          <w:color w:val="000000"/>
          <w:sz w:val="20"/>
          <w:szCs w:val="20"/>
        </w:rPr>
      </w:pPr>
      <w:r w:rsidDel="00000000" w:rsidR="00000000" w:rsidRPr="00000000">
        <w:rPr>
          <w:color w:val="000000"/>
          <w:sz w:val="20"/>
          <w:szCs w:val="20"/>
          <w:rtl w:val="0"/>
        </w:rPr>
        <w:t xml:space="preserve">Whitlock, C., Higuera, P.E., McWethy, D.B. and Briles, C.E., 2010. Paleoecological perspectives on fire ecology: revisiting the fire-regime concept. </w:t>
      </w:r>
      <w:r w:rsidDel="00000000" w:rsidR="00000000" w:rsidRPr="00000000">
        <w:rPr>
          <w:i w:val="1"/>
          <w:color w:val="000000"/>
          <w:sz w:val="20"/>
          <w:szCs w:val="20"/>
          <w:rtl w:val="0"/>
        </w:rPr>
        <w:t xml:space="preserve">The Open Ecology Journal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3</w:t>
      </w:r>
      <w:r w:rsidDel="00000000" w:rsidR="00000000" w:rsidRPr="00000000">
        <w:rPr>
          <w:color w:val="000000"/>
          <w:sz w:val="20"/>
          <w:szCs w:val="20"/>
          <w:rtl w:val="0"/>
        </w:rPr>
        <w:t xml:space="preserve">(1).</w:t>
      </w:r>
    </w:p>
    <w:p w:rsidR="00000000" w:rsidDel="00000000" w:rsidP="00000000" w:rsidRDefault="00000000" w:rsidRPr="00000000" w14:paraId="00000050">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rPr>
          <w:color w:val="000000"/>
          <w:sz w:val="28"/>
          <w:szCs w:val="28"/>
        </w:rPr>
      </w:pPr>
      <w:r w:rsidDel="00000000" w:rsidR="00000000" w:rsidRPr="00000000">
        <w:rPr>
          <w:color w:val="000000"/>
          <w:sz w:val="28"/>
          <w:szCs w:val="28"/>
          <w:rtl w:val="0"/>
        </w:rPr>
        <w:t xml:space="preserve">Appendix</w:t>
      </w:r>
    </w:p>
    <w:p w:rsidR="00000000" w:rsidDel="00000000" w:rsidP="00000000" w:rsidRDefault="00000000" w:rsidRPr="00000000" w14:paraId="00000052">
      <w:pPr>
        <w:rPr>
          <w:b w:val="1"/>
        </w:rPr>
      </w:pPr>
      <w:r w:rsidDel="00000000" w:rsidR="00000000" w:rsidRPr="00000000">
        <w:rPr>
          <w:b w:val="1"/>
          <w:rtl w:val="0"/>
        </w:rPr>
        <w:t xml:space="preserve">Figure X. Differences in fuel moisture between sites and across treatments. </w:t>
      </w:r>
      <w:sdt>
        <w:sdtPr>
          <w:tag w:val="goog_rdk_10"/>
        </w:sdtPr>
        <w:sdtContent>
          <w:commentRangeStart w:id="10"/>
        </w:sdtContent>
      </w:sdt>
      <w:r w:rsidDel="00000000" w:rsidR="00000000" w:rsidRPr="00000000">
        <w:rPr>
          <w:b w:val="1"/>
          <w:rtl w:val="0"/>
        </w:rPr>
        <w:t xml:space="preserve">Normalized weight loss is measured as the water weight lost after drying (wet weight – dry weight), divided by the initial wet weight in grams.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3">
      <w:pPr>
        <w:spacing w:line="360" w:lineRule="auto"/>
        <w:rPr>
          <w:color w:val="000000"/>
          <w:sz w:val="22"/>
          <w:szCs w:val="22"/>
        </w:rPr>
      </w:pPr>
      <w:r w:rsidDel="00000000" w:rsidR="00000000" w:rsidRPr="00000000">
        <w:rPr>
          <w:color w:val="000000"/>
          <w:sz w:val="22"/>
          <w:szCs w:val="22"/>
        </w:rPr>
        <w:drawing>
          <wp:inline distB="0" distT="0" distL="0" distR="0">
            <wp:extent cx="4008376" cy="3320613"/>
            <wp:effectExtent b="0" l="0" r="0" t="0"/>
            <wp:docPr descr="Chart, box and whisker chart&#10;&#10;Description automatically generated" id="9" name="image1.png"/>
            <a:graphic>
              <a:graphicData uri="http://schemas.openxmlformats.org/drawingml/2006/picture">
                <pic:pic>
                  <pic:nvPicPr>
                    <pic:cNvPr descr="Chart, box and whisker chart&#10;&#10;Description automatically generated" id="0" name="image1.png"/>
                    <pic:cNvPicPr preferRelativeResize="0"/>
                  </pic:nvPicPr>
                  <pic:blipFill>
                    <a:blip r:embed="rId11"/>
                    <a:srcRect b="0" l="0" r="0" t="0"/>
                    <a:stretch>
                      <a:fillRect/>
                    </a:stretch>
                  </pic:blipFill>
                  <pic:spPr>
                    <a:xfrm>
                      <a:off x="0" y="0"/>
                      <a:ext cx="4008376" cy="3320613"/>
                    </a:xfrm>
                    <a:prstGeom prst="rect"/>
                    <a:ln/>
                  </pic:spPr>
                </pic:pic>
              </a:graphicData>
            </a:graphic>
          </wp:inline>
        </w:drawing>
      </w:r>
      <w:r w:rsidDel="00000000" w:rsidR="00000000" w:rsidRPr="00000000">
        <w:rPr>
          <w:color w:val="000000"/>
          <w:sz w:val="22"/>
          <w:szCs w:val="22"/>
        </w:rPr>
        <w:drawing>
          <wp:inline distB="0" distT="0" distL="0" distR="0">
            <wp:extent cx="7084946" cy="1816653"/>
            <wp:effectExtent b="0" l="0" r="0" t="0"/>
            <wp:docPr descr="Chart, scatter chart&#10;&#10;Description automatically generated" id="11" name="image2.png"/>
            <a:graphic>
              <a:graphicData uri="http://schemas.openxmlformats.org/drawingml/2006/picture">
                <pic:pic>
                  <pic:nvPicPr>
                    <pic:cNvPr descr="Chart, scatter chart&#10;&#10;Description automatically generated" id="0" name="image2.png"/>
                    <pic:cNvPicPr preferRelativeResize="0"/>
                  </pic:nvPicPr>
                  <pic:blipFill>
                    <a:blip r:embed="rId12"/>
                    <a:srcRect b="0" l="0" r="0" t="0"/>
                    <a:stretch>
                      <a:fillRect/>
                    </a:stretch>
                  </pic:blipFill>
                  <pic:spPr>
                    <a:xfrm>
                      <a:off x="0" y="0"/>
                      <a:ext cx="7084946" cy="1816653"/>
                    </a:xfrm>
                    <a:prstGeom prst="rect"/>
                    <a:ln/>
                  </pic:spPr>
                </pic:pic>
              </a:graphicData>
            </a:graphic>
          </wp:inline>
        </w:drawing>
      </w:r>
      <w:r w:rsidDel="00000000" w:rsidR="00000000" w:rsidRPr="00000000">
        <w:rPr>
          <w:rtl w:val="0"/>
        </w:rPr>
      </w:r>
    </w:p>
    <w:sectPr>
      <w:footerReference r:id="rId13" w:type="default"/>
      <w:footerReference r:id="rId1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Buma" w:id="9" w:date="2021-04-01T13:35:0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paired graph with SD or some metric of variability (or a mean/variance graph by itself)</w:t>
      </w:r>
    </w:p>
  </w:comment>
  <w:comment w:author="Hayes, Katherine" w:id="10" w:date="2021-03-29T13:06: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seemed like a better way to represent it than just wet – dry or even dry / wet, does it make sense?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point though is that they do differ</w:t>
      </w:r>
    </w:p>
  </w:comment>
  <w:comment w:author="Brian Buma" w:id="1" w:date="2021-04-01T12:54: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still true, but should cite something more recent.  The AK state gov’t tracks totals.</w:t>
      </w:r>
    </w:p>
  </w:comment>
  <w:comment w:author="Hayes, Katherine" w:id="7" w:date="2021-03-29T12:59: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to resolve: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author="Brian Buma" w:id="8" w:date="2021-04-01T13:34:0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point.  What about plotting with differing symbols (in addition to the different colors), one for single burns, one for 2x and one for 3x?</w:t>
      </w:r>
    </w:p>
  </w:comment>
  <w:comment w:author="Hayes, Katherine" w:id="3" w:date="2021-03-09T08:49: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Hawley uses 10 hr, 100-1000 hr, pine litter, wiregrass/bunchgrass, other graminoids, shrubs, volatile shrubs, forbs, pine cones, deciduous oak litter, evergreen oak litter, longleaf pine litter</w:t>
      </w:r>
    </w:p>
  </w:comment>
  <w:comment w:author="Hayes, Katherine" w:id="4" w:date="2021-03-09T08:51: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at the fuel model guides for AK vegetation - Thinking we’d use 10/100/100 hr, forbs, shrubs, graminoids, feathermoss, maybe duff/SOL height?</w:t>
      </w:r>
    </w:p>
  </w:comment>
  <w:comment w:author="Hayes, Katherine" w:id="5" w:date="2021-03-09T09:04:0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want to talk to chad about this, and maybe someone like Randi too</w:t>
      </w:r>
    </w:p>
  </w:comment>
  <w:comment w:author="Brian Buma" w:id="6" w:date="2021-04-01T12:59:0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those seem reasonable.  Duff would be important to capture, but we may have that already.  Randi would be a good person to talk to about other categories/combining categories, yes.</w:t>
      </w:r>
    </w:p>
  </w:comment>
  <w:comment w:author="Hayes, Katherine" w:id="2" w:date="2021-06-07T08:31:0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with new measurements</w:t>
      </w:r>
    </w:p>
  </w:comment>
  <w:comment w:author="Hayes, Katherine" w:id="0" w:date="2021-06-29T15:47: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Hoy et al. 2016, Johnstone et al. 2010)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8" w15:done="0"/>
  <w15:commentEx w15:paraId="0000005B" w15:done="0"/>
  <w15:commentEx w15:paraId="0000005C" w15:done="0"/>
  <w15:commentEx w15:paraId="0000005D" w15:done="0"/>
  <w15:commentEx w15:paraId="0000005E" w15:paraIdParent="0000005D" w15:done="0"/>
  <w15:commentEx w15:paraId="0000005F" w15:done="0"/>
  <w15:commentEx w15:paraId="00000060" w15:paraIdParent="0000005F" w15:done="0"/>
  <w15:commentEx w15:paraId="00000061" w15:paraIdParent="0000005F" w15:done="0"/>
  <w15:commentEx w15:paraId="00000062" w15:paraIdParent="0000005F" w15:done="0"/>
  <w15:commentEx w15:paraId="00000063" w15:done="0"/>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0d0d0d"/>
    </w:rPr>
  </w:style>
  <w:style w:type="paragraph" w:styleId="Heading4">
    <w:name w:val="heading 4"/>
    <w:basedOn w:val="Normal"/>
    <w:next w:val="Normal"/>
    <w:pPr>
      <w:keepNext w:val="1"/>
      <w:keepLines w:val="1"/>
      <w:spacing w:before="40" w:lineRule="auto"/>
    </w:pPr>
    <w:rPr>
      <w:b w:val="1"/>
      <w:i w:val="1"/>
      <w:color w:val="000000"/>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E4644"/>
    <w:pPr>
      <w:keepNext w:val="1"/>
      <w:keepLines w:val="1"/>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autoRedefine w:val="1"/>
    <w:uiPriority w:val="9"/>
    <w:unhideWhenUsed w:val="1"/>
    <w:qFormat w:val="1"/>
    <w:rsid w:val="005E4644"/>
    <w:pPr>
      <w:keepNext w:val="1"/>
      <w:keepLines w:val="1"/>
      <w:spacing w:before="40"/>
      <w:outlineLvl w:val="2"/>
    </w:pPr>
    <w:rPr>
      <w:rFonts w:asciiTheme="majorHAnsi" w:cstheme="majorBidi" w:eastAsiaTheme="majorEastAsia" w:hAnsiTheme="majorHAnsi"/>
      <w:color w:val="0d0d0d" w:themeColor="text1" w:themeTint="0000F2"/>
    </w:rPr>
  </w:style>
  <w:style w:type="paragraph" w:styleId="Heading4">
    <w:name w:val="heading 4"/>
    <w:basedOn w:val="Normal"/>
    <w:next w:val="Normal"/>
    <w:link w:val="Heading4Char"/>
    <w:autoRedefine w:val="1"/>
    <w:uiPriority w:val="9"/>
    <w:unhideWhenUsed w:val="1"/>
    <w:qFormat w:val="1"/>
    <w:rsid w:val="005E4644"/>
    <w:pPr>
      <w:keepNext w:val="1"/>
      <w:keepLines w:val="1"/>
      <w:spacing w:before="40"/>
      <w:outlineLvl w:val="3"/>
    </w:pPr>
    <w:rPr>
      <w:rFonts w:cstheme="minorHAnsi" w:eastAsiaTheme="majorEastAsia"/>
      <w:b w:val="1"/>
      <w:i w:val="1"/>
      <w:iCs w:val="1"/>
      <w:color w:val="000000" w:themeColor="text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E4644"/>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5E4644"/>
    <w:rPr>
      <w:rFonts w:asciiTheme="majorHAnsi" w:cstheme="majorBidi" w:eastAsiaTheme="majorEastAsia" w:hAnsiTheme="majorHAnsi"/>
      <w:color w:val="0d0d0d" w:themeColor="text1" w:themeTint="0000F2"/>
    </w:rPr>
  </w:style>
  <w:style w:type="character" w:styleId="Heading4Char" w:customStyle="1">
    <w:name w:val="Heading 4 Char"/>
    <w:basedOn w:val="DefaultParagraphFont"/>
    <w:link w:val="Heading4"/>
    <w:uiPriority w:val="9"/>
    <w:rsid w:val="005E4644"/>
    <w:rPr>
      <w:rFonts w:cstheme="minorHAnsi" w:eastAsiaTheme="majorEastAsia"/>
      <w:b w:val="1"/>
      <w:i w:val="1"/>
      <w:iCs w:val="1"/>
      <w:color w:val="000000" w:themeColor="text1"/>
      <w:sz w:val="22"/>
    </w:rPr>
  </w:style>
  <w:style w:type="character" w:styleId="SubtleReference">
    <w:name w:val="Subtle Reference"/>
    <w:basedOn w:val="DefaultParagraphFont"/>
    <w:uiPriority w:val="31"/>
    <w:qFormat w:val="1"/>
    <w:rsid w:val="005E4644"/>
    <w:rPr>
      <w:smallCaps w:val="1"/>
      <w:color w:val="5a5a5a" w:themeColor="text1" w:themeTint="0000A5"/>
    </w:rPr>
  </w:style>
  <w:style w:type="paragraph" w:styleId="ListParagraph">
    <w:name w:val="List Paragraph"/>
    <w:basedOn w:val="Normal"/>
    <w:uiPriority w:val="34"/>
    <w:qFormat w:val="1"/>
    <w:rsid w:val="005E4644"/>
    <w:pPr>
      <w:ind w:left="720"/>
      <w:contextualSpacing w:val="1"/>
    </w:pPr>
    <w:rPr>
      <w:sz w:val="22"/>
    </w:rPr>
  </w:style>
  <w:style w:type="table" w:styleId="TableGrid">
    <w:name w:val="Table Grid"/>
    <w:basedOn w:val="TableNormal"/>
    <w:uiPriority w:val="39"/>
    <w:rsid w:val="005E464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E464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E4644"/>
    <w:rPr>
      <w:rFonts w:ascii="Times New Roman" w:cs="Times New Roman" w:hAnsi="Times New Roman"/>
      <w:sz w:val="18"/>
      <w:szCs w:val="18"/>
    </w:rPr>
  </w:style>
  <w:style w:type="character" w:styleId="LineNumber">
    <w:name w:val="line number"/>
    <w:basedOn w:val="DefaultParagraphFont"/>
    <w:uiPriority w:val="99"/>
    <w:semiHidden w:val="1"/>
    <w:unhideWhenUsed w:val="1"/>
    <w:rsid w:val="007A5368"/>
  </w:style>
  <w:style w:type="paragraph" w:styleId="Footer">
    <w:name w:val="footer"/>
    <w:basedOn w:val="Normal"/>
    <w:link w:val="FooterChar"/>
    <w:uiPriority w:val="99"/>
    <w:unhideWhenUsed w:val="1"/>
    <w:rsid w:val="000322B5"/>
    <w:pPr>
      <w:tabs>
        <w:tab w:val="center" w:pos="4680"/>
        <w:tab w:val="right" w:pos="9360"/>
      </w:tabs>
    </w:pPr>
  </w:style>
  <w:style w:type="character" w:styleId="FooterChar" w:customStyle="1">
    <w:name w:val="Footer Char"/>
    <w:basedOn w:val="DefaultParagraphFont"/>
    <w:link w:val="Footer"/>
    <w:uiPriority w:val="99"/>
    <w:rsid w:val="000322B5"/>
  </w:style>
  <w:style w:type="character" w:styleId="PageNumber">
    <w:name w:val="page number"/>
    <w:basedOn w:val="DefaultParagraphFont"/>
    <w:uiPriority w:val="99"/>
    <w:semiHidden w:val="1"/>
    <w:unhideWhenUsed w:val="1"/>
    <w:rsid w:val="000322B5"/>
  </w:style>
  <w:style w:type="paragraph" w:styleId="NoSpacing">
    <w:name w:val="No Spacing"/>
    <w:uiPriority w:val="1"/>
    <w:qFormat w:val="1"/>
    <w:rsid w:val="00481990"/>
  </w:style>
  <w:style w:type="character" w:styleId="CommentReference">
    <w:name w:val="annotation reference"/>
    <w:basedOn w:val="DefaultParagraphFont"/>
    <w:uiPriority w:val="99"/>
    <w:semiHidden w:val="1"/>
    <w:unhideWhenUsed w:val="1"/>
    <w:rsid w:val="00481990"/>
    <w:rPr>
      <w:sz w:val="16"/>
      <w:szCs w:val="16"/>
    </w:rPr>
  </w:style>
  <w:style w:type="paragraph" w:styleId="CommentText">
    <w:name w:val="annotation text"/>
    <w:basedOn w:val="Normal"/>
    <w:link w:val="CommentTextChar"/>
    <w:uiPriority w:val="99"/>
    <w:semiHidden w:val="1"/>
    <w:unhideWhenUsed w:val="1"/>
    <w:rsid w:val="00481990"/>
    <w:rPr>
      <w:sz w:val="20"/>
      <w:szCs w:val="20"/>
    </w:rPr>
  </w:style>
  <w:style w:type="character" w:styleId="CommentTextChar" w:customStyle="1">
    <w:name w:val="Comment Text Char"/>
    <w:basedOn w:val="DefaultParagraphFont"/>
    <w:link w:val="CommentText"/>
    <w:uiPriority w:val="99"/>
    <w:semiHidden w:val="1"/>
    <w:rsid w:val="00481990"/>
    <w:rPr>
      <w:sz w:val="20"/>
      <w:szCs w:val="20"/>
    </w:rPr>
  </w:style>
  <w:style w:type="paragraph" w:styleId="CommentSubject">
    <w:name w:val="annotation subject"/>
    <w:basedOn w:val="CommentText"/>
    <w:next w:val="CommentText"/>
    <w:link w:val="CommentSubjectChar"/>
    <w:uiPriority w:val="99"/>
    <w:semiHidden w:val="1"/>
    <w:unhideWhenUsed w:val="1"/>
    <w:rsid w:val="00481990"/>
    <w:rPr>
      <w:b w:val="1"/>
      <w:bCs w:val="1"/>
    </w:rPr>
  </w:style>
  <w:style w:type="character" w:styleId="CommentSubjectChar" w:customStyle="1">
    <w:name w:val="Comment Subject Char"/>
    <w:basedOn w:val="CommentTextChar"/>
    <w:link w:val="CommentSubject"/>
    <w:uiPriority w:val="99"/>
    <w:semiHidden w:val="1"/>
    <w:rsid w:val="00481990"/>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2021-04-02T15:35:00Z</dcterms:created>
  <dc:creator>Hayes, Katherine</dc:creator>
</cp:coreProperties>
</file>