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912EB18" w14:textId="2B2332CD" w:rsidR="005E4644" w:rsidRDefault="000322B5" w:rsidP="00DD7B67">
      <w:pPr>
        <w:spacing w:line="360" w:lineRule="auto"/>
      </w:pPr>
      <w:r w:rsidRPr="000322B5">
        <w:rPr>
          <w:b/>
          <w:bCs/>
        </w:rPr>
        <w:t>Authors:</w:t>
      </w:r>
      <w:r>
        <w:t xml:space="preserve"> Kate Hayes, Brian </w:t>
      </w:r>
      <w:proofErr w:type="spellStart"/>
      <w:r>
        <w:t>Buma</w:t>
      </w:r>
      <w:proofErr w:type="spellEnd"/>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23D1944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commentRangeStart w:id="1"/>
      <w:r w:rsidR="005E4644">
        <w:rPr>
          <w:rFonts w:cstheme="minorHAnsi"/>
        </w:rPr>
        <w:t>The</w:t>
      </w:r>
      <w:r w:rsidR="005E4644" w:rsidRPr="00B73008">
        <w:rPr>
          <w:rFonts w:cstheme="minorHAnsi"/>
        </w:rPr>
        <w:t xml:space="preserve"> presence of </w:t>
      </w:r>
      <w:r w:rsidR="005E4644">
        <w:rPr>
          <w:rFonts w:cstheme="minorHAnsi"/>
        </w:rPr>
        <w:t>less</w:t>
      </w:r>
      <w:r>
        <w:rPr>
          <w:rFonts w:cstheme="minorHAnsi"/>
        </w:rPr>
        <w:t>-</w:t>
      </w:r>
      <w:r w:rsidR="005E4644">
        <w:rPr>
          <w:rFonts w:cstheme="minorHAnsi"/>
        </w:rPr>
        <w:t xml:space="preserve">flammable </w:t>
      </w:r>
      <w:r w:rsidR="005E4644"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005E4644" w:rsidRPr="00B73008">
        <w:rPr>
          <w:rFonts w:cstheme="minorHAnsi"/>
        </w:rPr>
        <w:t>birch</w:t>
      </w:r>
      <w:r w:rsidR="001B041A">
        <w:rPr>
          <w:rFonts w:cstheme="minorHAnsi"/>
        </w:rPr>
        <w:t xml:space="preserve"> pollen presence</w:t>
      </w:r>
      <w:r w:rsidR="005E4644" w:rsidRPr="00B73008">
        <w:rPr>
          <w:rFonts w:cstheme="minorHAnsi"/>
        </w:rPr>
        <w:t xml:space="preserve"> (Kelly et al. 2013, Brubaker et al. 2009). </w:t>
      </w:r>
      <w:commentRangeEnd w:id="1"/>
      <w:r w:rsidR="006F58F1">
        <w:rPr>
          <w:rStyle w:val="CommentReference"/>
        </w:rPr>
        <w:commentReference w:id="1"/>
      </w:r>
    </w:p>
    <w:p w14:paraId="3A446DAB" w14:textId="77777777" w:rsidR="005E4644" w:rsidRPr="00B73008" w:rsidRDefault="005E4644" w:rsidP="00DD7B67">
      <w:pPr>
        <w:spacing w:line="360" w:lineRule="auto"/>
        <w:rPr>
          <w:rFonts w:cstheme="minorHAnsi"/>
        </w:rPr>
      </w:pPr>
    </w:p>
    <w:p w14:paraId="6E300519" w14:textId="737887A0" w:rsidR="005E4644" w:rsidRPr="00B73008"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sediment records suggest that the present fire regime may have surpassed the proposed vegetation-induced limits that constrained burning during the Medieval Climate Anomaly.</w:t>
      </w:r>
      <w:r w:rsidR="001B041A">
        <w:rPr>
          <w:rFonts w:cstheme="minorHAnsi"/>
        </w:rPr>
        <w:t xml:space="preserve"> This may be explained by the argument that</w:t>
      </w:r>
      <w:r w:rsidRPr="00B73008">
        <w:rPr>
          <w:rFonts w:cstheme="minorHAnsi"/>
        </w:rPr>
        <w:t xml:space="preserve"> evidence of a negative feedback is </w:t>
      </w:r>
      <w:r w:rsidRPr="00B73008">
        <w:rPr>
          <w:rFonts w:cstheme="minorHAnsi"/>
        </w:rPr>
        <w:lastRenderedPageBreak/>
        <w:t>primarily based on paleoecological records</w:t>
      </w:r>
      <w:r w:rsidR="001B041A">
        <w:rPr>
          <w:rFonts w:cstheme="minorHAnsi"/>
        </w:rPr>
        <w:t>,</w:t>
      </w:r>
      <w:r w:rsidRPr="00B73008">
        <w:rPr>
          <w:rFonts w:cstheme="minorHAnsi"/>
        </w:rPr>
        <w:t xml:space="preserve"> which may be an inadequate approach</w:t>
      </w:r>
      <w:r w:rsidR="001B041A">
        <w:rPr>
          <w:rFonts w:cstheme="minorHAnsi"/>
        </w:rPr>
        <w:t xml:space="preserve"> under warming conditions. H</w:t>
      </w:r>
      <w:r w:rsidRPr="00B73008">
        <w:rPr>
          <w:rFonts w:cstheme="minorHAnsi"/>
        </w:rPr>
        <w:t>istorical forest compositions are not analogous to modern conditions</w:t>
      </w:r>
      <w:r w:rsidR="001B041A">
        <w:rPr>
          <w:rFonts w:cstheme="minorHAnsi"/>
        </w:rPr>
        <w:t xml:space="preserve"> in Interior Alaska: 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sidR="001B041A">
        <w:rPr>
          <w:rFonts w:cstheme="minorHAnsi"/>
        </w:rPr>
        <w:t xml:space="preserve"> 2021). Additionally</w:t>
      </w:r>
      <w:r w:rsidRPr="00B73008">
        <w:rPr>
          <w:rFonts w:cstheme="minorHAnsi"/>
        </w:rPr>
        <w:t xml:space="preserve">, preliminary </w:t>
      </w:r>
      <w:r w:rsidR="001B041A">
        <w:rPr>
          <w:rFonts w:cstheme="minorHAnsi"/>
        </w:rPr>
        <w:t xml:space="preserve">observations of emerging deciduous landscapes </w:t>
      </w:r>
      <w:r w:rsidRPr="00B73008">
        <w:rPr>
          <w:rFonts w:cstheme="minorHAnsi"/>
        </w:rPr>
        <w:t xml:space="preserve">(Hayes and </w:t>
      </w:r>
      <w:proofErr w:type="spellStart"/>
      <w:r w:rsidRPr="00B73008">
        <w:rPr>
          <w:rFonts w:cstheme="minorHAnsi"/>
        </w:rPr>
        <w:t>Buma</w:t>
      </w:r>
      <w:proofErr w:type="spellEnd"/>
      <w:r w:rsidR="001B041A">
        <w:rPr>
          <w:rFonts w:cstheme="minorHAnsi"/>
        </w:rPr>
        <w:t xml:space="preserve"> 2021</w:t>
      </w:r>
      <w:r w:rsidRPr="00B73008">
        <w:rPr>
          <w:rFonts w:cstheme="minorHAnsi"/>
        </w:rPr>
        <w:t xml:space="preserve">) </w:t>
      </w:r>
      <w:r w:rsidR="001B041A" w:rsidRPr="00B73008">
        <w:rPr>
          <w:rFonts w:cstheme="minorHAnsi"/>
        </w:rPr>
        <w:t>demonstrate</w:t>
      </w:r>
      <w:r w:rsidRPr="00B73008">
        <w:rPr>
          <w:rFonts w:cstheme="minorHAnsi"/>
        </w:rPr>
        <w:t xml:space="preserve">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001B041A">
        <w:rPr>
          <w:rFonts w:cstheme="minorHAnsi"/>
        </w:rPr>
        <w:t xml:space="preserve">() </w:t>
      </w:r>
      <w:r w:rsidRPr="00B73008">
        <w:rPr>
          <w:rFonts w:cstheme="minorHAnsi"/>
        </w:rPr>
        <w:t>indicates that paleoecological studies are not a perfect analogue for modern change</w:t>
      </w:r>
      <w:r w:rsidR="001B041A">
        <w:rPr>
          <w:rFonts w:cstheme="minorHAnsi"/>
        </w:rPr>
        <w:t xml:space="preserve"> (i.e.</w:t>
      </w:r>
      <w:proofErr w:type="gramStart"/>
      <w:r w:rsidR="001B041A">
        <w:rPr>
          <w:rFonts w:cstheme="minorHAnsi"/>
        </w:rPr>
        <w:t>, )</w:t>
      </w:r>
      <w:proofErr w:type="gramEnd"/>
      <w:r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405C3A97" w:rsidR="003A31B4" w:rsidRDefault="005E4644" w:rsidP="00DD7B67">
      <w:pPr>
        <w:spacing w:line="360" w:lineRule="auto"/>
        <w:rPr>
          <w:rFonts w:cstheme="minorHAnsi"/>
        </w:rPr>
      </w:pPr>
      <w:r w:rsidRPr="00B73008">
        <w:rPr>
          <w:rFonts w:cstheme="minorHAnsi"/>
        </w:rPr>
        <w:br/>
      </w:r>
      <w:r w:rsidR="001B041A">
        <w:rPr>
          <w:rFonts w:cstheme="minorHAnsi"/>
        </w:rPr>
        <w:t>Furthermore</w:t>
      </w:r>
      <w:r>
        <w:rPr>
          <w:rFonts w:cstheme="minorHAnsi"/>
        </w:rPr>
        <w:t>,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132B02DF" w:rsidR="00481990" w:rsidRDefault="006F58F1" w:rsidP="00DD7B67">
      <w:pPr>
        <w:spacing w:line="360" w:lineRule="auto"/>
        <w:rPr>
          <w:rFonts w:cstheme="minorHAnsi"/>
        </w:rPr>
      </w:pPr>
      <w:commentRangeStart w:id="2"/>
      <w:r>
        <w:rPr>
          <w:rFonts w:cstheme="minorHAnsi"/>
        </w:rPr>
        <w:t xml:space="preserve"> </w:t>
      </w:r>
      <w:commentRangeEnd w:id="2"/>
      <w:r>
        <w:rPr>
          <w:rStyle w:val="CommentReference"/>
        </w:rPr>
        <w:commentReference w:id="2"/>
      </w:r>
      <w:r w:rsidR="003A31B4" w:rsidRPr="00B73008">
        <w:rPr>
          <w:rFonts w:cstheme="minorHAnsi"/>
        </w:rPr>
        <w:t xml:space="preserve">Fire events at a local or landscape scale are fundamentally driven by three components: weather, fuel and local/landscape environmental controls (Whitlock et al. 2010). </w:t>
      </w:r>
      <w:r w:rsidR="003A31B4">
        <w:rPr>
          <w:rFonts w:cstheme="minorHAnsi"/>
        </w:rPr>
        <w:t>Changes in any single component can drive shifts in fire behavior or even fire regimes, depending on the scale.</w:t>
      </w:r>
      <w:r w:rsidR="003A31B4" w:rsidRPr="00396586">
        <w:rPr>
          <w:rFonts w:cstheme="minorHAnsi"/>
        </w:rPr>
        <w:t xml:space="preserve"> </w:t>
      </w:r>
      <w:r w:rsidR="003A31B4" w:rsidRPr="00B73008">
        <w:rPr>
          <w:rFonts w:cstheme="minorHAnsi"/>
        </w:rPr>
        <w:t xml:space="preserve">Changes in fuel </w:t>
      </w:r>
      <w:r w:rsidR="003A31B4">
        <w:rPr>
          <w:rFonts w:cstheme="minorHAnsi"/>
        </w:rPr>
        <w:t xml:space="preserve">in particular </w:t>
      </w:r>
      <w:r w:rsidR="003A31B4" w:rsidRPr="00B73008">
        <w:rPr>
          <w:rFonts w:cstheme="minorHAnsi"/>
        </w:rPr>
        <w:t xml:space="preserve">are directly related to subsequent changes in fire behavior </w:t>
      </w:r>
      <w:r w:rsidR="003A31B4">
        <w:rPr>
          <w:rFonts w:cstheme="minorHAnsi"/>
        </w:rPr>
        <w:lastRenderedPageBreak/>
        <w:t xml:space="preserve">across scales and regardless of system </w:t>
      </w:r>
      <w:r w:rsidR="003A31B4" w:rsidRPr="00B73008">
        <w:rPr>
          <w:rFonts w:cstheme="minorHAnsi"/>
        </w:rPr>
        <w:t>(Taylor and Fonda 199</w:t>
      </w:r>
      <w:r w:rsidR="003A31B4">
        <w:rPr>
          <w:rFonts w:cstheme="minorHAnsi"/>
        </w:rPr>
        <w:t>0</w:t>
      </w:r>
      <w:r w:rsidR="003A31B4" w:rsidRPr="00B73008">
        <w:rPr>
          <w:rFonts w:cstheme="minorHAnsi"/>
        </w:rPr>
        <w:t xml:space="preserve">, Schimmel and </w:t>
      </w:r>
      <w:proofErr w:type="spellStart"/>
      <w:r w:rsidR="003A31B4" w:rsidRPr="00B73008">
        <w:rPr>
          <w:rFonts w:cstheme="minorHAnsi"/>
        </w:rPr>
        <w:t>Grantsrom</w:t>
      </w:r>
      <w:proofErr w:type="spellEnd"/>
      <w:r w:rsidR="003A31B4" w:rsidRPr="00B73008">
        <w:rPr>
          <w:rFonts w:cstheme="minorHAnsi"/>
        </w:rPr>
        <w:t xml:space="preserve"> 1997, </w:t>
      </w:r>
      <w:proofErr w:type="spellStart"/>
      <w:r w:rsidR="003A31B4" w:rsidRPr="00B73008">
        <w:rPr>
          <w:rFonts w:cstheme="minorHAnsi"/>
        </w:rPr>
        <w:t>Hely</w:t>
      </w:r>
      <w:proofErr w:type="spellEnd"/>
      <w:r w:rsidR="003A31B4" w:rsidRPr="00B73008">
        <w:rPr>
          <w:rFonts w:cstheme="minorHAnsi"/>
        </w:rPr>
        <w:t xml:space="preserve"> et al. 2009)</w:t>
      </w:r>
      <w:r w:rsidR="003A31B4">
        <w:rPr>
          <w:rFonts w:cstheme="minorHAnsi"/>
        </w:rPr>
        <w:t>. Fuel, therefore, serves as a link between vegetation type and combustion environment (Mitchell et al. 2009). Since</w:t>
      </w:r>
      <w:r w:rsidR="003A31B4" w:rsidRPr="00396586">
        <w:rPr>
          <w:rFonts w:cstheme="minorHAnsi"/>
          <w:color w:val="000000" w:themeColor="text1"/>
        </w:rPr>
        <w:t xml:space="preserve"> the spatial distribution of fuel elements in a given stand shape both fire danger and initial surface fire behavior (</w:t>
      </w:r>
      <w:proofErr w:type="spellStart"/>
      <w:r w:rsidR="003A31B4" w:rsidRPr="00396586">
        <w:rPr>
          <w:rFonts w:cstheme="minorHAnsi"/>
          <w:color w:val="000000" w:themeColor="text1"/>
        </w:rPr>
        <w:t>Hely</w:t>
      </w:r>
      <w:proofErr w:type="spellEnd"/>
      <w:r w:rsidR="003A31B4" w:rsidRPr="00396586">
        <w:rPr>
          <w:rFonts w:cstheme="minorHAnsi"/>
          <w:color w:val="000000" w:themeColor="text1"/>
        </w:rPr>
        <w:t xml:space="preserve"> et al. 2009),</w:t>
      </w:r>
      <w:r w:rsidR="003A31B4">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3"/>
      <w:r w:rsidR="003A31B4">
        <w:rPr>
          <w:rFonts w:cstheme="minorHAnsi"/>
          <w:color w:val="000000" w:themeColor="text1"/>
        </w:rPr>
        <w:t xml:space="preserve"> </w:t>
      </w:r>
      <w:bookmarkStart w:id="4" w:name="_Toc34651444"/>
      <w:bookmarkStart w:id="5" w:name="_Toc42179367"/>
      <w:commentRangeEnd w:id="3"/>
      <w:r w:rsidR="00481990">
        <w:rPr>
          <w:rStyle w:val="CommentReference"/>
        </w:rPr>
        <w:commentReference w:id="3"/>
      </w:r>
    </w:p>
    <w:p w14:paraId="0A4DE30B" w14:textId="201909E9" w:rsidR="003A31B4" w:rsidRPr="00481990" w:rsidRDefault="003A31B4" w:rsidP="00DD7B67">
      <w:pPr>
        <w:spacing w:line="360" w:lineRule="auto"/>
        <w:rPr>
          <w:rStyle w:val="SubtleReference"/>
          <w:rFonts w:cstheme="minorHAnsi"/>
          <w:smallCaps w:val="0"/>
          <w:color w:val="auto"/>
        </w:rPr>
      </w:pPr>
    </w:p>
    <w:bookmarkEnd w:id="4"/>
    <w:bookmarkEnd w:id="5"/>
    <w:p w14:paraId="1D6BD3DB" w14:textId="18479D1D" w:rsidR="005E4644" w:rsidRPr="00D31947" w:rsidRDefault="003A31B4" w:rsidP="00DD7B67">
      <w:pPr>
        <w:spacing w:line="360" w:lineRule="auto"/>
        <w:rPr>
          <w:rFonts w:cstheme="minorHAnsi"/>
        </w:rPr>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r w:rsidR="005E4644" w:rsidRPr="00B73008">
        <w:rPr>
          <w:rFonts w:cstheme="minorHAnsi"/>
        </w:rPr>
        <w:t>This study has three objectives: 1) evaluate how the 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r w:rsidR="002B4C66">
        <w:rPr>
          <w:rFonts w:cstheme="minorHAnsi"/>
        </w:rPr>
        <w:t xml:space="preserve">3) connect landscape-scale trends in flammability with fine-scale measurements of fuel loads and patterns in reburned stands. </w:t>
      </w:r>
      <w:r w:rsidR="005E4644" w:rsidRPr="00B73008">
        <w:rPr>
          <w:rFonts w:cstheme="minorHAnsi"/>
        </w:rPr>
        <w:t xml:space="preserve">In contrast to previous studies that examine the distribution of fuel elements after a single fire event, here </w:t>
      </w:r>
      <w:r>
        <w:rPr>
          <w:rFonts w:cstheme="minorHAnsi"/>
        </w:rPr>
        <w:t>we</w:t>
      </w:r>
      <w:r w:rsidR="005E4644" w:rsidRPr="00B73008">
        <w:rPr>
          <w:rFonts w:cstheme="minorHAnsi"/>
        </w:rPr>
        <w:t xml:space="preserve"> assess fuel loads in boreal stands that have experienced between 1 to 3 short-interval sequential fires.</w:t>
      </w:r>
      <w:r>
        <w:rPr>
          <w:rFonts w:cstheme="minorHAnsi"/>
        </w:rPr>
        <w:t xml:space="preserve"> </w:t>
      </w:r>
      <w:r w:rsidR="00607E94">
        <w:rPr>
          <w:rFonts w:cstheme="minorHAnsi"/>
        </w:rPr>
        <w:t>W</w:t>
      </w:r>
      <w:r w:rsidR="00D31947">
        <w:rPr>
          <w:rFonts w:cstheme="minorHAnsi"/>
        </w:rPr>
        <w:t xml:space="preserve">e ask the following research questions: 1) </w:t>
      </w:r>
      <w:r w:rsidR="005E4644" w:rsidRPr="00D31947">
        <w:rPr>
          <w:rFonts w:cstheme="minorHAnsi"/>
        </w:rPr>
        <w:t>What is the spatial distribution of fuel elements in areas experiencing 1, 2 or 3 short interval fires?</w:t>
      </w:r>
      <w:r w:rsidR="00DD7B67">
        <w:rPr>
          <w:rFonts w:cstheme="minorHAnsi"/>
        </w:rPr>
        <w:t>,</w:t>
      </w:r>
      <w:r w:rsidR="00D31947">
        <w:rPr>
          <w:rFonts w:cstheme="minorHAnsi"/>
        </w:rPr>
        <w:t xml:space="preserve"> 2) </w:t>
      </w:r>
      <w:r w:rsidR="005E4644" w:rsidRPr="00D31947">
        <w:rPr>
          <w:rFonts w:cstheme="minorHAnsi"/>
        </w:rPr>
        <w:t>How does the spatial distribution of fuel elements differ between uplands and lowlands in response to repeat burning?</w:t>
      </w:r>
      <w:r w:rsidR="00DD7B67">
        <w:rPr>
          <w:rFonts w:cstheme="minorHAnsi"/>
        </w:rPr>
        <w:t xml:space="preserve"> and 3) H</w:t>
      </w:r>
      <w:r w:rsidR="00DD7B67" w:rsidRPr="00DD7B67">
        <w:rPr>
          <w:rFonts w:cstheme="minorHAnsi"/>
        </w:rPr>
        <w:t>ow</w:t>
      </w:r>
      <w:r w:rsidR="00DD7B67">
        <w:rPr>
          <w:rFonts w:cstheme="minorHAnsi"/>
        </w:rPr>
        <w:t xml:space="preserve"> </w:t>
      </w:r>
      <w:r w:rsidR="00DD7B67" w:rsidRPr="00DD7B67">
        <w:rPr>
          <w:rFonts w:cstheme="minorHAnsi"/>
        </w:rPr>
        <w:t>d</w:t>
      </w:r>
      <w:r w:rsidR="00DD7B67">
        <w:rPr>
          <w:rFonts w:cstheme="minorHAnsi"/>
        </w:rPr>
        <w:t>oes</w:t>
      </w:r>
      <w:r w:rsidR="00DD7B67" w:rsidRPr="00DD7B67">
        <w:rPr>
          <w:rFonts w:cstheme="minorHAnsi"/>
        </w:rPr>
        <w:t xml:space="preserve"> fire behavior differ across reburn sequence and between </w:t>
      </w:r>
      <w:r w:rsidR="00DD7B67">
        <w:rPr>
          <w:rFonts w:cstheme="minorHAnsi"/>
        </w:rPr>
        <w:t>community types?</w:t>
      </w:r>
      <w:r w:rsidR="005E4644" w:rsidRPr="00D31947">
        <w:rPr>
          <w:rFonts w:cstheme="minorHAnsi"/>
        </w:rPr>
        <w:t xml:space="preserve"> </w:t>
      </w:r>
      <w:r w:rsidR="002B4C66" w:rsidRPr="00D31947">
        <w:rPr>
          <w:rFonts w:cstheme="minorHAnsi"/>
        </w:rPr>
        <w:t>We</w:t>
      </w:r>
      <w:r w:rsidR="005E4644"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w:t>
      </w:r>
      <w:commentRangeStart w:id="6"/>
      <w:r w:rsidR="00DD7B67">
        <w:rPr>
          <w:rFonts w:cstheme="minorHAnsi"/>
        </w:rPr>
        <w:t xml:space="preserve">. </w:t>
      </w:r>
      <w:r w:rsidR="00607E94">
        <w:rPr>
          <w:rFonts w:cstheme="minorHAnsi"/>
        </w:rPr>
        <w:t xml:space="preserve"> </w:t>
      </w:r>
      <w:commentRangeEnd w:id="6"/>
      <w:r w:rsidR="00607E94">
        <w:rPr>
          <w:rStyle w:val="CommentReference"/>
        </w:rPr>
        <w:commentReference w:id="6"/>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7" w:name="_Toc34651448"/>
      <w:bookmarkStart w:id="8" w:name="_Toc42179371"/>
      <w:r w:rsidRPr="00B73008">
        <w:rPr>
          <w:rFonts w:asciiTheme="minorHAnsi" w:hAnsiTheme="minorHAnsi" w:cstheme="minorHAnsi"/>
        </w:rPr>
        <w:lastRenderedPageBreak/>
        <w:t>Methods</w:t>
      </w:r>
      <w:bookmarkEnd w:id="7"/>
      <w:bookmarkEnd w:id="8"/>
    </w:p>
    <w:p w14:paraId="0742EF11" w14:textId="77777777" w:rsidR="005E4644" w:rsidRDefault="005E4644" w:rsidP="00DD7B67">
      <w:pPr>
        <w:pStyle w:val="Heading4"/>
        <w:spacing w:line="360" w:lineRule="auto"/>
      </w:pPr>
      <w:r w:rsidRPr="00B73008">
        <w:t>Study Design</w:t>
      </w:r>
    </w:p>
    <w:p w14:paraId="2DDA0863" w14:textId="1706D59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proofErr w:type="spellStart"/>
      <w:r w:rsidR="00607E94">
        <w:rPr>
          <w:rFonts w:cstheme="minorHAnsi"/>
        </w:rPr>
        <w:t>distrbution</w:t>
      </w:r>
      <w:proofErr w:type="spellEnd"/>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77777777"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742CA09E"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the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evaluating 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5EC8420B"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lastRenderedPageBreak/>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We destructively harvested representative samples of fuels 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27DA1A13" w14:textId="28F223F7" w:rsidR="00C471DA" w:rsidRPr="00D31947"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EDED9D4" w14:textId="1DDFF5B9" w:rsidR="007056CB" w:rsidRDefault="007056CB" w:rsidP="00DD7B67">
      <w:pPr>
        <w:spacing w:line="360" w:lineRule="auto"/>
        <w:rPr>
          <w:rFonts w:cstheme="minorHAnsi"/>
        </w:rPr>
      </w:pPr>
    </w:p>
    <w:p w14:paraId="043406DA" w14:textId="77777777" w:rsidR="005066C5" w:rsidRDefault="005066C5" w:rsidP="00DD7B67">
      <w:pPr>
        <w:spacing w:line="360" w:lineRule="auto"/>
        <w:rPr>
          <w:rFonts w:cstheme="minorHAnsi"/>
          <w:b/>
          <w:bCs/>
        </w:rPr>
      </w:pP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lastRenderedPageBreak/>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2C3F7319" w:rsidR="005066C5" w:rsidRDefault="005066C5" w:rsidP="005066C5">
      <w:pPr>
        <w:rPr>
          <w:rFonts w:cstheme="minorHAnsi"/>
          <w:b/>
          <w:bCs/>
        </w:rPr>
      </w:pPr>
      <w:r>
        <w:rPr>
          <w:rFonts w:cstheme="minorHAnsi"/>
          <w:b/>
          <w:bCs/>
        </w:rPr>
        <w:t xml:space="preserve">Figure X. Counts of </w:t>
      </w:r>
      <w:proofErr w:type="gramStart"/>
      <w:r>
        <w:rPr>
          <w:rFonts w:cstheme="minorHAnsi"/>
          <w:b/>
          <w:bCs/>
        </w:rPr>
        <w:t>coarse</w:t>
      </w:r>
      <w:proofErr w:type="gramEnd"/>
      <w:r>
        <w:rPr>
          <w:rFonts w:cstheme="minorHAnsi"/>
          <w:b/>
          <w:bCs/>
        </w:rPr>
        <w:t xml:space="preserve">-woody debris across reburn and between sites according to size classes. </w:t>
      </w:r>
      <w:r w:rsidRPr="005066C5">
        <w:rPr>
          <w:rFonts w:cstheme="minorHAnsi"/>
        </w:rPr>
        <w:t>Dots represent outliers.</w:t>
      </w:r>
      <w:r>
        <w:rPr>
          <w:rFonts w:cstheme="minorHAnsi"/>
          <w:b/>
          <w:bCs/>
        </w:rPr>
        <w:t xml:space="preserve"> </w:t>
      </w:r>
      <w:r w:rsidRPr="005066C5">
        <w:rPr>
          <w:rFonts w:cstheme="minorHAnsi"/>
          <w:b/>
          <w:bCs/>
          <w:color w:val="FF0000"/>
        </w:rPr>
        <w:t xml:space="preserve">[need to add </w:t>
      </w:r>
      <w:proofErr w:type="spellStart"/>
      <w:r w:rsidRPr="005066C5">
        <w:rPr>
          <w:rFonts w:cstheme="minorHAnsi"/>
          <w:b/>
          <w:bCs/>
          <w:color w:val="FF0000"/>
        </w:rPr>
        <w:t>steese</w:t>
      </w:r>
      <w:proofErr w:type="spellEnd"/>
      <w:r w:rsidRPr="005066C5">
        <w:rPr>
          <w:rFonts w:cstheme="minorHAnsi"/>
          <w:b/>
          <w:bCs/>
          <w:color w:val="FF0000"/>
        </w:rPr>
        <w:t xml:space="preserve"> unburned data]</w:t>
      </w:r>
    </w:p>
    <w:p w14:paraId="4B96D54F" w14:textId="0692886D" w:rsidR="005066C5" w:rsidRPr="005066C5" w:rsidRDefault="005066C5" w:rsidP="005066C5">
      <w:pPr>
        <w:rPr>
          <w:rFonts w:cstheme="minorHAnsi"/>
          <w:b/>
          <w:bCs/>
        </w:rPr>
      </w:pPr>
      <w:r>
        <w:rPr>
          <w:rFonts w:cstheme="minorHAnsi"/>
          <w:b/>
          <w:bCs/>
          <w:noProof/>
        </w:rPr>
        <w:drawing>
          <wp:inline distT="0" distB="0" distL="0" distR="0" wp14:anchorId="641605CF" wp14:editId="29D6CE4A">
            <wp:extent cx="5943600" cy="38138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3625CEED" w14:textId="0C2C2DBD" w:rsidR="005066C5" w:rsidRPr="005066C5" w:rsidRDefault="005066C5" w:rsidP="005066C5">
      <w:pPr>
        <w:rPr>
          <w:rFonts w:cstheme="minorHAnsi"/>
          <w:b/>
          <w:bCs/>
        </w:rPr>
      </w:pPr>
      <w:r w:rsidRPr="005066C5">
        <w:rPr>
          <w:rFonts w:cstheme="minorHAnsi"/>
          <w:b/>
          <w:bCs/>
        </w:rPr>
        <w:t>Figure X. Fine fuel loads</w:t>
      </w:r>
      <w:r>
        <w:rPr>
          <w:rFonts w:cstheme="minorHAnsi"/>
          <w:b/>
          <w:bCs/>
        </w:rPr>
        <w:t xml:space="preserve"> across reburn history and between sites. </w:t>
      </w:r>
      <w:r w:rsidRPr="005066C5">
        <w:rPr>
          <w:rFonts w:cstheme="minorHAnsi"/>
          <w:b/>
          <w:bCs/>
        </w:rPr>
        <w:t xml:space="preserve"> </w:t>
      </w:r>
      <w:r>
        <w:rPr>
          <w:rFonts w:cstheme="minorHAnsi"/>
          <w:b/>
          <w:bCs/>
        </w:rPr>
        <w:t>Loads</w:t>
      </w:r>
      <w:r w:rsidRPr="005066C5">
        <w:rPr>
          <w:rFonts w:cstheme="minorHAnsi"/>
          <w:b/>
          <w:bCs/>
        </w:rPr>
        <w:t xml:space="preserve"> evaluated </w:t>
      </w:r>
      <w:r>
        <w:rPr>
          <w:rFonts w:cstheme="minorHAnsi"/>
          <w:b/>
          <w:bCs/>
        </w:rPr>
        <w:t>as</w:t>
      </w:r>
      <w:r w:rsidRPr="005066C5">
        <w:rPr>
          <w:rFonts w:cstheme="minorHAnsi"/>
          <w:b/>
          <w:bCs/>
        </w:rPr>
        <w:t xml:space="preserve"> the tallest height of connected vegetation across the plot. </w:t>
      </w:r>
      <w:r w:rsidRPr="005066C5">
        <w:rPr>
          <w:rFonts w:cstheme="minorHAnsi"/>
        </w:rPr>
        <w:t>Dots represent outliers.</w:t>
      </w:r>
      <w:r>
        <w:rPr>
          <w:rFonts w:cstheme="minorHAnsi"/>
          <w:b/>
          <w:bCs/>
        </w:rPr>
        <w:t xml:space="preserve"> </w:t>
      </w:r>
    </w:p>
    <w:p w14:paraId="1D3EBBFC" w14:textId="2EE61609" w:rsidR="005066C5" w:rsidRPr="005066C5" w:rsidRDefault="005066C5" w:rsidP="00DD7B67">
      <w:pPr>
        <w:spacing w:line="360" w:lineRule="auto"/>
        <w:rPr>
          <w:rFonts w:cstheme="minorHAnsi"/>
        </w:rPr>
      </w:pPr>
      <w:r>
        <w:rPr>
          <w:rFonts w:cstheme="minorHAnsi"/>
          <w:noProof/>
        </w:rPr>
        <w:drawing>
          <wp:inline distT="0" distB="0" distL="0" distR="0" wp14:anchorId="7085EBC1" wp14:editId="402778D2">
            <wp:extent cx="3693459" cy="2248038"/>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3144" cy="2253933"/>
                    </a:xfrm>
                    <a:prstGeom prst="rect">
                      <a:avLst/>
                    </a:prstGeom>
                  </pic:spPr>
                </pic:pic>
              </a:graphicData>
            </a:graphic>
          </wp:inline>
        </w:drawing>
      </w:r>
    </w:p>
    <w:p w14:paraId="63CB4BA3" w14:textId="6BF125A9" w:rsidR="005E4644" w:rsidRPr="000322B5" w:rsidRDefault="000322B5" w:rsidP="00DD7B67">
      <w:pPr>
        <w:spacing w:line="360" w:lineRule="auto"/>
        <w:rPr>
          <w:rFonts w:cstheme="minorHAnsi"/>
          <w:b/>
          <w:bCs/>
        </w:rPr>
      </w:pPr>
      <w:r w:rsidRPr="000322B5">
        <w:rPr>
          <w:rFonts w:cstheme="minorHAnsi"/>
          <w:b/>
          <w:bCs/>
        </w:rPr>
        <w:lastRenderedPageBreak/>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9" w:name="_Toc42179374"/>
      <w:r w:rsidRPr="00B73008">
        <w:rPr>
          <w:rFonts w:asciiTheme="minorHAnsi" w:hAnsiTheme="minorHAnsi" w:cstheme="minorHAnsi"/>
        </w:rPr>
        <w:t>References</w:t>
      </w:r>
      <w:bookmarkEnd w:id="9"/>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lastRenderedPageBreak/>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2-02T13:52:00Z" w:initials="HK">
    <w:p w14:paraId="5DBFFA99" w14:textId="737716EE" w:rsidR="006F58F1" w:rsidRDefault="006F58F1">
      <w:pPr>
        <w:pStyle w:val="CommentText"/>
      </w:pPr>
      <w:r>
        <w:rPr>
          <w:rStyle w:val="CommentReference"/>
        </w:rPr>
        <w:annotationRef/>
      </w:r>
      <w:r>
        <w:t>Could be discussion sentence?</w:t>
      </w:r>
    </w:p>
  </w:comment>
  <w:comment w:id="2" w:author="Hayes, Katherine" w:date="2021-02-02T13:56:00Z" w:initials="HK">
    <w:p w14:paraId="480F08E3" w14:textId="1F739552" w:rsidR="006F58F1" w:rsidRDefault="006F58F1">
      <w:pPr>
        <w:pStyle w:val="CommentText"/>
      </w:pPr>
      <w:r>
        <w:rPr>
          <w:rStyle w:val="CommentReference"/>
        </w:rPr>
        <w:annotationRef/>
      </w:r>
      <w:r>
        <w:t xml:space="preserve">Could replace with lit review of landscape-scale </w:t>
      </w:r>
    </w:p>
  </w:comment>
  <w:comment w:id="3" w:author="Hayes, Katherine" w:date="2021-01-26T10:13:00Z" w:initials="HK">
    <w:p w14:paraId="009DFD40" w14:textId="2F8C94D0" w:rsidR="00D31947" w:rsidRDefault="00D31947">
      <w:pPr>
        <w:pStyle w:val="CommentText"/>
      </w:pPr>
      <w:r>
        <w:rPr>
          <w:rStyle w:val="CommentReference"/>
        </w:rPr>
        <w:annotationRef/>
      </w:r>
      <w:r>
        <w:t>Add in walker et al. 2020 – fuel availability controls boreal fire severity, not fire weather</w:t>
      </w:r>
    </w:p>
  </w:comment>
  <w:comment w:id="6" w:author="Hayes, Katherine" w:date="2021-02-01T10:55:00Z" w:initials="HK">
    <w:p w14:paraId="5DFC10A4" w14:textId="4BA112E1" w:rsidR="00607E94" w:rsidRDefault="00607E94">
      <w:pPr>
        <w:pStyle w:val="CommentText"/>
      </w:pPr>
      <w:r>
        <w:rPr>
          <w:rStyle w:val="CommentReference"/>
        </w:rPr>
        <w:annotationRef/>
      </w:r>
      <w:r>
        <w:t xml:space="preserve">Definitely places to cut here – most of the specific objectives/questions are a holdover from the proposal version of this chapter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BFFA99" w15:done="0"/>
  <w15:commentEx w15:paraId="480F08E3" w15:done="0"/>
  <w15:commentEx w15:paraId="009DFD40" w15:done="0"/>
  <w15:commentEx w15:paraId="5DFC1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D7B7" w16cex:dateUtc="2021-02-02T20:52:00Z"/>
  <w16cex:commentExtensible w16cex:durableId="23C3D8A7" w16cex:dateUtc="2021-02-02T20:56:00Z"/>
  <w16cex:commentExtensible w16cex:durableId="23BA69DA" w16cex:dateUtc="2021-01-26T17:13:00Z"/>
  <w16cex:commentExtensible w16cex:durableId="23C25C8F" w16cex:dateUtc="2021-02-01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BFFA99" w16cid:durableId="23C3D7B7"/>
  <w16cid:commentId w16cid:paraId="480F08E3" w16cid:durableId="23C3D8A7"/>
  <w16cid:commentId w16cid:paraId="009DFD40" w16cid:durableId="23BA69DA"/>
  <w16cid:commentId w16cid:paraId="5DFC10A4" w16cid:durableId="23C25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1F2D2" w14:textId="77777777" w:rsidR="00817280" w:rsidRDefault="00817280" w:rsidP="000322B5">
      <w:r>
        <w:separator/>
      </w:r>
    </w:p>
  </w:endnote>
  <w:endnote w:type="continuationSeparator" w:id="0">
    <w:p w14:paraId="1FA73BA2" w14:textId="77777777" w:rsidR="00817280" w:rsidRDefault="00817280"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8B7DA" w14:textId="77777777" w:rsidR="00817280" w:rsidRDefault="00817280" w:rsidP="000322B5">
      <w:r>
        <w:separator/>
      </w:r>
    </w:p>
  </w:footnote>
  <w:footnote w:type="continuationSeparator" w:id="0">
    <w:p w14:paraId="45030CF0" w14:textId="77777777" w:rsidR="00817280" w:rsidRDefault="00817280"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5740E"/>
    <w:rsid w:val="001B041A"/>
    <w:rsid w:val="001B3F8E"/>
    <w:rsid w:val="001B4FE8"/>
    <w:rsid w:val="002856E2"/>
    <w:rsid w:val="002B4C66"/>
    <w:rsid w:val="0035591E"/>
    <w:rsid w:val="003936A4"/>
    <w:rsid w:val="003A31B4"/>
    <w:rsid w:val="00481990"/>
    <w:rsid w:val="005066C5"/>
    <w:rsid w:val="005C2AA5"/>
    <w:rsid w:val="005C7103"/>
    <w:rsid w:val="005E4644"/>
    <w:rsid w:val="00607E94"/>
    <w:rsid w:val="006A7F47"/>
    <w:rsid w:val="006F58F1"/>
    <w:rsid w:val="007056CB"/>
    <w:rsid w:val="00750B5D"/>
    <w:rsid w:val="007A5368"/>
    <w:rsid w:val="00817280"/>
    <w:rsid w:val="008C6274"/>
    <w:rsid w:val="008D7F31"/>
    <w:rsid w:val="00920D1E"/>
    <w:rsid w:val="00A0286D"/>
    <w:rsid w:val="00A1667F"/>
    <w:rsid w:val="00AC35D9"/>
    <w:rsid w:val="00C471DA"/>
    <w:rsid w:val="00D31947"/>
    <w:rsid w:val="00D729C9"/>
    <w:rsid w:val="00DD7B67"/>
    <w:rsid w:val="00E21F1C"/>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10</cp:revision>
  <cp:lastPrinted>2021-01-26T16:47:00Z</cp:lastPrinted>
  <dcterms:created xsi:type="dcterms:W3CDTF">2020-12-02T20:04:00Z</dcterms:created>
  <dcterms:modified xsi:type="dcterms:W3CDTF">2021-02-02T21:06:00Z</dcterms:modified>
</cp:coreProperties>
</file>