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912EB18" w14:textId="4E3928E6" w:rsidR="005E4644" w:rsidRDefault="000322B5" w:rsidP="00DD7B67">
      <w:pPr>
        <w:spacing w:line="360" w:lineRule="auto"/>
      </w:pPr>
      <w:r w:rsidRPr="000322B5">
        <w:rPr>
          <w:b/>
          <w:bCs/>
        </w:rPr>
        <w:t>Authors:</w:t>
      </w:r>
      <w:r>
        <w:t xml:space="preserve"> Kate Hayes, Brian </w:t>
      </w:r>
      <w:proofErr w:type="spellStart"/>
      <w:r>
        <w:t>Buma</w:t>
      </w:r>
      <w:proofErr w:type="spellEnd"/>
      <w:r w:rsidR="00EC4C33">
        <w:t>, Chad Hoffman</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6B06EE7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557AE11B"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records suggest that the present fire regime may have surpassed the proposed vegetation-induced limits</w:t>
      </w:r>
      <w:r w:rsidR="00981CD9">
        <w:rPr>
          <w:rFonts w:cstheme="minorHAnsi"/>
        </w:rPr>
        <w:t>.</w:t>
      </w:r>
      <w:r w:rsidR="001B041A">
        <w:rPr>
          <w:rFonts w:cstheme="minorHAnsi"/>
        </w:rPr>
        <w:t xml:space="preserve"> </w:t>
      </w:r>
      <w:r w:rsidR="00981CD9">
        <w:rPr>
          <w:rFonts w:cstheme="minorHAnsi"/>
        </w:rPr>
        <w:t xml:space="preserve">One potential mechanism for driving burning </w:t>
      </w:r>
      <w:proofErr w:type="spellStart"/>
      <w:r w:rsidR="00981CD9">
        <w:rPr>
          <w:rFonts w:cstheme="minorHAnsi"/>
        </w:rPr>
        <w:t>pattrns</w:t>
      </w:r>
      <w:proofErr w:type="spellEnd"/>
      <w:r w:rsidR="00981CD9">
        <w:rPr>
          <w:rFonts w:cstheme="minorHAnsi"/>
        </w:rPr>
        <w:t xml:space="preserve"> past any previous deciduous feedback is shifting community types: paleoecological community types may not be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xml:space="preserve">, past boreal environments were dominated by birch (Higuera et </w:t>
      </w:r>
      <w:r w:rsidRPr="00B73008">
        <w:rPr>
          <w:rFonts w:cstheme="minorHAnsi"/>
        </w:rPr>
        <w:lastRenderedPageBreak/>
        <w:t>al. 2008) while 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 xml:space="preserve">Hayes and </w:t>
      </w:r>
      <w:proofErr w:type="spellStart"/>
      <w:r>
        <w:rPr>
          <w:rFonts w:cstheme="minorHAnsi"/>
        </w:rPr>
        <w:t>Buma</w:t>
      </w:r>
      <w:proofErr w:type="spellEnd"/>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 xml:space="preserve">(Hayes and </w:t>
      </w:r>
      <w:proofErr w:type="spellStart"/>
      <w:r w:rsidR="005E4644" w:rsidRPr="00B73008">
        <w:rPr>
          <w:rFonts w:cstheme="minorHAnsi"/>
        </w:rPr>
        <w:t>Buma</w:t>
      </w:r>
      <w:proofErr w:type="spellEnd"/>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DCDFC0C"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1" w:name="_Toc34651444"/>
      <w:bookmarkStart w:id="2"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1"/>
    <w:bookmarkEnd w:id="2"/>
    <w:p w14:paraId="1D6BD3DB" w14:textId="47F8CEC3" w:rsidR="005E4644" w:rsidRPr="00D31947" w:rsidRDefault="003A31B4" w:rsidP="00DD7B67">
      <w:pPr>
        <w:spacing w:line="360" w:lineRule="auto"/>
        <w:rPr>
          <w:rFonts w:cstheme="minorHAnsi"/>
        </w:rPr>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r w:rsidR="005E4644" w:rsidRPr="00B73008">
        <w:rPr>
          <w:rFonts w:cstheme="minorHAnsi"/>
        </w:rPr>
        <w:t xml:space="preserve">This study has three objectives: 1) evaluate how the </w:t>
      </w:r>
      <w:r w:rsidR="005E4644" w:rsidRPr="00B73008">
        <w:rPr>
          <w:rFonts w:cstheme="minorHAnsi"/>
        </w:rPr>
        <w:lastRenderedPageBreak/>
        <w:t>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r w:rsidR="002B4C66">
        <w:rPr>
          <w:rFonts w:cstheme="minorHAnsi"/>
        </w:rPr>
        <w:t xml:space="preserve">3) connect landscape-scale trends in flammability with fine-scale measurements of fuel loads and patterns in reburned stands. </w:t>
      </w:r>
      <w:r w:rsidR="005E4644" w:rsidRPr="00B73008">
        <w:rPr>
          <w:rFonts w:cstheme="minorHAnsi"/>
        </w:rPr>
        <w:t xml:space="preserve">In contrast to previous studies that examine the distribution of fuel elements after a single fire event, here </w:t>
      </w:r>
      <w:r>
        <w:rPr>
          <w:rFonts w:cstheme="minorHAnsi"/>
        </w:rPr>
        <w:t>we</w:t>
      </w:r>
      <w:r w:rsidR="005E4644" w:rsidRPr="00B73008">
        <w:rPr>
          <w:rFonts w:cstheme="minorHAnsi"/>
        </w:rPr>
        <w:t xml:space="preserve"> assess fuel loads in boreal stands that have experienced between 1 to 3 short-interval sequential fires.</w:t>
      </w:r>
      <w:r>
        <w:rPr>
          <w:rFonts w:cstheme="minorHAnsi"/>
        </w:rPr>
        <w:t xml:space="preserve"> </w:t>
      </w:r>
      <w:r w:rsidR="002B4C66" w:rsidRPr="00D31947">
        <w:rPr>
          <w:rFonts w:cstheme="minorHAnsi"/>
        </w:rPr>
        <w:t>We</w:t>
      </w:r>
      <w:r w:rsidR="005E4644"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3" w:name="_Toc34651448"/>
      <w:bookmarkStart w:id="4" w:name="_Toc42179371"/>
      <w:r w:rsidRPr="00B73008">
        <w:rPr>
          <w:rFonts w:asciiTheme="minorHAnsi" w:hAnsiTheme="minorHAnsi" w:cstheme="minorHAnsi"/>
        </w:rPr>
        <w:t>Methods</w:t>
      </w:r>
      <w:bookmarkEnd w:id="3"/>
      <w:bookmarkEnd w:id="4"/>
    </w:p>
    <w:p w14:paraId="0742EF11" w14:textId="77777777" w:rsidR="005E4644" w:rsidRDefault="005E4644" w:rsidP="00DD7B67">
      <w:pPr>
        <w:pStyle w:val="Heading4"/>
        <w:spacing w:line="360" w:lineRule="auto"/>
      </w:pPr>
      <w:r w:rsidRPr="00B73008">
        <w:t>Study Design</w:t>
      </w:r>
    </w:p>
    <w:p w14:paraId="2DDA0863" w14:textId="6BCFFA6F"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77777777"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742CA09E" w:rsidR="005E4644" w:rsidRDefault="005E4644" w:rsidP="00DD7B67">
      <w:pPr>
        <w:spacing w:line="360" w:lineRule="auto"/>
        <w:rPr>
          <w:rFonts w:cstheme="minorHAnsi"/>
          <w:color w:val="70AD47" w:themeColor="accent6"/>
        </w:rPr>
      </w:pPr>
      <w:r>
        <w:rPr>
          <w:rFonts w:cstheme="minorHAnsi"/>
          <w:color w:val="70AD47" w:themeColor="accent6"/>
        </w:rPr>
        <w:lastRenderedPageBreak/>
        <w:br/>
      </w:r>
      <w:r w:rsidR="00E21F1C">
        <w:rPr>
          <w:rFonts w:cstheme="minorHAnsi"/>
          <w:color w:val="000000" w:themeColor="text1"/>
        </w:rPr>
        <w:t>We used the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evaluating 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5EC8420B"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We destructively harvested representative samples of fuels 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 xml:space="preserve">Fire danger here is defined as the summed stand-level characteristics (both chemical and physical) of fuel elements that </w:t>
      </w:r>
      <w:r w:rsidRPr="00396586">
        <w:rPr>
          <w:rFonts w:cstheme="minorHAnsi"/>
          <w:color w:val="000000" w:themeColor="text1"/>
        </w:rPr>
        <w:lastRenderedPageBreak/>
        <w:t>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27DA1A13" w14:textId="28F223F7" w:rsidR="00C471DA" w:rsidRPr="00D31947"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EDED9D4" w14:textId="1DDFF5B9" w:rsidR="007056CB" w:rsidRDefault="007056CB" w:rsidP="00DD7B67">
      <w:pPr>
        <w:spacing w:line="360" w:lineRule="auto"/>
        <w:rPr>
          <w:rFonts w:cstheme="minorHAnsi"/>
        </w:rPr>
      </w:pPr>
    </w:p>
    <w:p w14:paraId="043406DA" w14:textId="77777777" w:rsidR="005066C5" w:rsidRDefault="005066C5" w:rsidP="00DD7B67">
      <w:pPr>
        <w:spacing w:line="360" w:lineRule="auto"/>
        <w:rPr>
          <w:rFonts w:cstheme="minorHAnsi"/>
          <w:b/>
          <w:bCs/>
        </w:rPr>
      </w:pP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2C3F7319" w:rsidR="005066C5" w:rsidRDefault="005066C5" w:rsidP="005066C5">
      <w:pPr>
        <w:rPr>
          <w:rFonts w:cstheme="minorHAnsi"/>
          <w:b/>
          <w:bCs/>
        </w:rPr>
      </w:pPr>
      <w:r>
        <w:rPr>
          <w:rFonts w:cstheme="minorHAnsi"/>
          <w:b/>
          <w:bCs/>
        </w:rPr>
        <w:t xml:space="preserve">Figure X. Counts of </w:t>
      </w:r>
      <w:proofErr w:type="gramStart"/>
      <w:r>
        <w:rPr>
          <w:rFonts w:cstheme="minorHAnsi"/>
          <w:b/>
          <w:bCs/>
        </w:rPr>
        <w:t>coarse</w:t>
      </w:r>
      <w:proofErr w:type="gramEnd"/>
      <w:r>
        <w:rPr>
          <w:rFonts w:cstheme="minorHAnsi"/>
          <w:b/>
          <w:bCs/>
        </w:rPr>
        <w:t xml:space="preserve">-woody debris across reburn and between sites according to size classes. </w:t>
      </w:r>
      <w:r w:rsidRPr="005066C5">
        <w:rPr>
          <w:rFonts w:cstheme="minorHAnsi"/>
        </w:rPr>
        <w:t>Dots represent outliers.</w:t>
      </w:r>
      <w:r>
        <w:rPr>
          <w:rFonts w:cstheme="minorHAnsi"/>
          <w:b/>
          <w:bCs/>
        </w:rPr>
        <w:t xml:space="preserve"> </w:t>
      </w:r>
      <w:r w:rsidRPr="005066C5">
        <w:rPr>
          <w:rFonts w:cstheme="minorHAnsi"/>
          <w:b/>
          <w:bCs/>
          <w:color w:val="FF0000"/>
        </w:rPr>
        <w:t xml:space="preserve">[need to add </w:t>
      </w:r>
      <w:proofErr w:type="spellStart"/>
      <w:r w:rsidRPr="005066C5">
        <w:rPr>
          <w:rFonts w:cstheme="minorHAnsi"/>
          <w:b/>
          <w:bCs/>
          <w:color w:val="FF0000"/>
        </w:rPr>
        <w:t>steese</w:t>
      </w:r>
      <w:proofErr w:type="spellEnd"/>
      <w:r w:rsidRPr="005066C5">
        <w:rPr>
          <w:rFonts w:cstheme="minorHAnsi"/>
          <w:b/>
          <w:bCs/>
          <w:color w:val="FF0000"/>
        </w:rPr>
        <w:t xml:space="preserve"> unburned data]</w:t>
      </w:r>
    </w:p>
    <w:p w14:paraId="4B96D54F" w14:textId="0692886D" w:rsidR="005066C5" w:rsidRPr="005066C5" w:rsidRDefault="005066C5" w:rsidP="005066C5">
      <w:pPr>
        <w:rPr>
          <w:rFonts w:cstheme="minorHAnsi"/>
          <w:b/>
          <w:bCs/>
        </w:rPr>
      </w:pPr>
      <w:r>
        <w:rPr>
          <w:rFonts w:cstheme="minorHAnsi"/>
          <w:b/>
          <w:bCs/>
          <w:noProof/>
        </w:rPr>
        <w:lastRenderedPageBreak/>
        <w:drawing>
          <wp:inline distT="0" distB="0" distL="0" distR="0" wp14:anchorId="641605CF" wp14:editId="29D6CE4A">
            <wp:extent cx="5943600" cy="38138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3625CEED" w14:textId="0C2C2DBD" w:rsidR="005066C5" w:rsidRPr="005066C5" w:rsidRDefault="005066C5" w:rsidP="005066C5">
      <w:pPr>
        <w:rPr>
          <w:rFonts w:cstheme="minorHAnsi"/>
          <w:b/>
          <w:bCs/>
        </w:rPr>
      </w:pPr>
      <w:r w:rsidRPr="005066C5">
        <w:rPr>
          <w:rFonts w:cstheme="minorHAnsi"/>
          <w:b/>
          <w:bCs/>
        </w:rPr>
        <w:t>Figure X. Fine fuel loads</w:t>
      </w:r>
      <w:r>
        <w:rPr>
          <w:rFonts w:cstheme="minorHAnsi"/>
          <w:b/>
          <w:bCs/>
        </w:rPr>
        <w:t xml:space="preserve"> across reburn history and between sites. </w:t>
      </w:r>
      <w:r w:rsidRPr="005066C5">
        <w:rPr>
          <w:rFonts w:cstheme="minorHAnsi"/>
          <w:b/>
          <w:bCs/>
        </w:rPr>
        <w:t xml:space="preserve"> </w:t>
      </w:r>
      <w:r>
        <w:rPr>
          <w:rFonts w:cstheme="minorHAnsi"/>
          <w:b/>
          <w:bCs/>
        </w:rPr>
        <w:t>Loads</w:t>
      </w:r>
      <w:r w:rsidRPr="005066C5">
        <w:rPr>
          <w:rFonts w:cstheme="minorHAnsi"/>
          <w:b/>
          <w:bCs/>
        </w:rPr>
        <w:t xml:space="preserve"> evaluated </w:t>
      </w:r>
      <w:r>
        <w:rPr>
          <w:rFonts w:cstheme="minorHAnsi"/>
          <w:b/>
          <w:bCs/>
        </w:rPr>
        <w:t>as</w:t>
      </w:r>
      <w:r w:rsidRPr="005066C5">
        <w:rPr>
          <w:rFonts w:cstheme="minorHAnsi"/>
          <w:b/>
          <w:bCs/>
        </w:rPr>
        <w:t xml:space="preserve"> the tallest height of connected vegetation across the plot. </w:t>
      </w:r>
      <w:r w:rsidRPr="005066C5">
        <w:rPr>
          <w:rFonts w:cstheme="minorHAnsi"/>
        </w:rPr>
        <w:t>Dots represent outliers.</w:t>
      </w:r>
      <w:r>
        <w:rPr>
          <w:rFonts w:cstheme="minorHAnsi"/>
          <w:b/>
          <w:bCs/>
        </w:rPr>
        <w:t xml:space="preserve"> </w:t>
      </w:r>
    </w:p>
    <w:p w14:paraId="1D3EBBFC" w14:textId="2EE61609" w:rsidR="005066C5" w:rsidRPr="005066C5" w:rsidRDefault="005066C5" w:rsidP="00DD7B67">
      <w:pPr>
        <w:spacing w:line="360" w:lineRule="auto"/>
        <w:rPr>
          <w:rFonts w:cstheme="minorHAnsi"/>
        </w:rPr>
      </w:pPr>
      <w:r>
        <w:rPr>
          <w:rFonts w:cstheme="minorHAnsi"/>
          <w:noProof/>
        </w:rPr>
        <w:drawing>
          <wp:inline distT="0" distB="0" distL="0" distR="0" wp14:anchorId="7085EBC1" wp14:editId="402778D2">
            <wp:extent cx="3693459" cy="2248038"/>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3144" cy="2253933"/>
                    </a:xfrm>
                    <a:prstGeom prst="rect">
                      <a:avLst/>
                    </a:prstGeom>
                  </pic:spPr>
                </pic:pic>
              </a:graphicData>
            </a:graphic>
          </wp:inline>
        </w:drawing>
      </w:r>
    </w:p>
    <w:p w14:paraId="233E64C4" w14:textId="77777777" w:rsidR="00EC4C33" w:rsidRDefault="00EC4C33">
      <w:pPr>
        <w:rPr>
          <w:rFonts w:cstheme="minorHAnsi"/>
          <w:b/>
          <w:bCs/>
        </w:rPr>
      </w:pPr>
      <w:r>
        <w:rPr>
          <w:rFonts w:cstheme="minorHAnsi"/>
          <w:b/>
          <w:bCs/>
        </w:rPr>
        <w:br w:type="page"/>
      </w:r>
    </w:p>
    <w:p w14:paraId="66E24DE1" w14:textId="0C61E943" w:rsidR="00EC4C33" w:rsidRDefault="00EC4C33" w:rsidP="00DD7B67">
      <w:pPr>
        <w:spacing w:line="360" w:lineRule="auto"/>
        <w:rPr>
          <w:rFonts w:cstheme="minorHAnsi"/>
          <w:b/>
          <w:bCs/>
        </w:rPr>
      </w:pPr>
      <w:r>
        <w:rPr>
          <w:rFonts w:cstheme="minorHAnsi"/>
          <w:b/>
          <w:bCs/>
        </w:rPr>
        <w:lastRenderedPageBreak/>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5" w:name="_Toc42179374"/>
      <w:r w:rsidRPr="00B73008">
        <w:rPr>
          <w:rFonts w:asciiTheme="minorHAnsi" w:hAnsiTheme="minorHAnsi" w:cstheme="minorHAnsi"/>
        </w:rPr>
        <w:t>References</w:t>
      </w:r>
      <w:bookmarkEnd w:id="5"/>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lastRenderedPageBreak/>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58FB9" w14:textId="77777777" w:rsidR="00BA4A94" w:rsidRDefault="00BA4A94" w:rsidP="000322B5">
      <w:r>
        <w:separator/>
      </w:r>
    </w:p>
  </w:endnote>
  <w:endnote w:type="continuationSeparator" w:id="0">
    <w:p w14:paraId="394A62DA" w14:textId="77777777" w:rsidR="00BA4A94" w:rsidRDefault="00BA4A94"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400BE" w14:textId="77777777" w:rsidR="00BA4A94" w:rsidRDefault="00BA4A94" w:rsidP="000322B5">
      <w:r>
        <w:separator/>
      </w:r>
    </w:p>
  </w:footnote>
  <w:footnote w:type="continuationSeparator" w:id="0">
    <w:p w14:paraId="57A746F2" w14:textId="77777777" w:rsidR="00BA4A94" w:rsidRDefault="00BA4A94"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5740E"/>
    <w:rsid w:val="001B041A"/>
    <w:rsid w:val="001B3F8E"/>
    <w:rsid w:val="001B4FE8"/>
    <w:rsid w:val="002856E2"/>
    <w:rsid w:val="002B4C66"/>
    <w:rsid w:val="0035591E"/>
    <w:rsid w:val="003936A4"/>
    <w:rsid w:val="003A31B4"/>
    <w:rsid w:val="00456741"/>
    <w:rsid w:val="00481990"/>
    <w:rsid w:val="005066C5"/>
    <w:rsid w:val="005C2AA5"/>
    <w:rsid w:val="005C7103"/>
    <w:rsid w:val="005E4644"/>
    <w:rsid w:val="00607E94"/>
    <w:rsid w:val="006A7F47"/>
    <w:rsid w:val="006F58F1"/>
    <w:rsid w:val="007056CB"/>
    <w:rsid w:val="00750B5D"/>
    <w:rsid w:val="007A5368"/>
    <w:rsid w:val="00817280"/>
    <w:rsid w:val="008C6274"/>
    <w:rsid w:val="008D7F31"/>
    <w:rsid w:val="00920D1E"/>
    <w:rsid w:val="00981CD9"/>
    <w:rsid w:val="00A0286D"/>
    <w:rsid w:val="00A1667F"/>
    <w:rsid w:val="00AC35D9"/>
    <w:rsid w:val="00BA4A94"/>
    <w:rsid w:val="00C471DA"/>
    <w:rsid w:val="00D31947"/>
    <w:rsid w:val="00D729C9"/>
    <w:rsid w:val="00DD7B67"/>
    <w:rsid w:val="00E21F1C"/>
    <w:rsid w:val="00EC4C33"/>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11</cp:revision>
  <cp:lastPrinted>2021-01-26T16:47:00Z</cp:lastPrinted>
  <dcterms:created xsi:type="dcterms:W3CDTF">2020-12-02T20:04:00Z</dcterms:created>
  <dcterms:modified xsi:type="dcterms:W3CDTF">2021-02-02T23:18:00Z</dcterms:modified>
</cp:coreProperties>
</file>