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00000002" w14:textId="77777777" w:rsidR="00480052" w:rsidRDefault="009D4560">
      <w:pPr>
        <w:spacing w:line="360" w:lineRule="auto"/>
        <w:rPr>
          <w:b/>
        </w:rPr>
      </w:pPr>
      <w:r>
        <w:rPr>
          <w:b/>
        </w:rPr>
        <w:t xml:space="preserve">Abstract: </w:t>
      </w:r>
    </w:p>
    <w:p w14:paraId="00000003" w14:textId="77777777" w:rsidR="00480052" w:rsidRDefault="009D4560">
      <w:pPr>
        <w:spacing w:line="360" w:lineRule="auto"/>
      </w:pPr>
      <w:r>
        <w:t xml:space="preserve">Increased reburning drives shifts in forest communities from conifer to deciduous species in Interior Alaska, creating questions about future characteristics of boreal fire regimes. Increased presence of deciduous species has been considered a negative feedback to subsequent fire activity due to changes in fuel structure and moisture content, but changes in fire weather and community composition have brought up questions about the strength or longevity of that negative feedback. Here we examine fuel type trends and the limit of the deciduous-flammability feedback by quantifying the effects of reburning on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drying conditions. </w:t>
      </w:r>
    </w:p>
    <w:p w14:paraId="00000004" w14:textId="77777777" w:rsidR="00480052" w:rsidRDefault="00480052">
      <w:pPr>
        <w:spacing w:line="360" w:lineRule="auto"/>
      </w:pPr>
    </w:p>
    <w:p w14:paraId="00000005" w14:textId="77777777" w:rsidR="00480052" w:rsidRDefault="009D4560">
      <w:pPr>
        <w:pStyle w:val="Heading2"/>
        <w:spacing w:line="360" w:lineRule="auto"/>
        <w:rPr>
          <w:rFonts w:ascii="Calibri" w:eastAsia="Calibri" w:hAnsi="Calibri" w:cs="Calibri"/>
        </w:rPr>
      </w:pPr>
      <w:bookmarkStart w:id="0" w:name="_heading=h.gjdgxs" w:colFirst="0" w:colLast="0"/>
      <w:bookmarkEnd w:id="0"/>
      <w:r>
        <w:rPr>
          <w:rFonts w:ascii="Calibri" w:eastAsia="Calibri" w:hAnsi="Calibri" w:cs="Calibri"/>
        </w:rPr>
        <w:t>Introduction</w:t>
      </w:r>
    </w:p>
    <w:p w14:paraId="00000006" w14:textId="5E72804B" w:rsidR="00480052" w:rsidRDefault="009D4560">
      <w:pPr>
        <w:spacing w:line="360" w:lineRule="auto"/>
      </w:pPr>
      <w:r>
        <w:t xml:space="preserve">Continued reburning under shortening fire intervals in Interior Alaska drive stand-level transitions from conifer-dominated forests to deciduous shrublands and grasslands (Hayes and </w:t>
      </w:r>
      <w:proofErr w:type="spellStart"/>
      <w:r>
        <w:t>Buma</w:t>
      </w:r>
      <w:proofErr w:type="spellEnd"/>
      <w:r>
        <w:t xml:space="preserve"> 2021</w:t>
      </w:r>
      <w:r w:rsidR="006A4AB5">
        <w:t>, Johnstone et al. 2010</w:t>
      </w:r>
      <w:r>
        <w:t>)</w:t>
      </w:r>
      <w:sdt>
        <w:sdtPr>
          <w:tag w:val="goog_rdk_0"/>
          <w:id w:val="-900976084"/>
        </w:sdtPr>
        <w:sdtEndPr/>
        <w:sdtContent/>
      </w:sdt>
      <w:r>
        <w:t>. Future characteristics of the boreal fire regime and of boreal forests themselves remain unclear under those circumstances.</w:t>
      </w:r>
      <w:r w:rsidR="00C75C00">
        <w:t xml:space="preserve"> I</w:t>
      </w:r>
      <w:r>
        <w:t xml:space="preserve">ncreased presence of deciduous species may </w:t>
      </w:r>
      <w:r w:rsidR="00C75C00">
        <w:t>act as</w:t>
      </w:r>
      <w:r>
        <w:t xml:space="preserve"> a negative feedback to future fire, as deciduous communities in the boreal are typically considered less flammable</w:t>
      </w:r>
      <w:r w:rsidR="00C75C00">
        <w:t xml:space="preserve"> (CITE)</w:t>
      </w:r>
      <w:r>
        <w:t>. However, the strength</w:t>
      </w:r>
      <w:r w:rsidR="00C75C00">
        <w:t>, reliability</w:t>
      </w:r>
      <w:r>
        <w:t xml:space="preserve"> and </w:t>
      </w:r>
      <w:r w:rsidR="00C75C00">
        <w:t>potential</w:t>
      </w:r>
      <w:r>
        <w:t xml:space="preserve"> duration of a deciduous negative feedback remain unclear</w:t>
      </w:r>
      <w:r w:rsidR="00C75C00">
        <w:t xml:space="preserve"> given the context of ongoing reburning shifting community composition past historic norms</w:t>
      </w:r>
      <w:r>
        <w:t xml:space="preserve">. </w:t>
      </w:r>
    </w:p>
    <w:p w14:paraId="00000007" w14:textId="77777777" w:rsidR="00480052" w:rsidRDefault="00480052">
      <w:pPr>
        <w:spacing w:line="360" w:lineRule="auto"/>
      </w:pPr>
    </w:p>
    <w:p w14:paraId="00000008" w14:textId="0CCA9F54" w:rsidR="00480052" w:rsidRDefault="009D4560">
      <w:pPr>
        <w:spacing w:line="360" w:lineRule="auto"/>
      </w:pPr>
      <w:r>
        <w:t xml:space="preserve">Several lines of evidence point to a weakening or override of the hypothesized deciduous feedback. First, modern patterns of burning, when viewed in context to paleoecological records, suggest the deciduous feedback has been overridden: a synthesis of paleoecological records </w:t>
      </w:r>
      <w:r w:rsidR="00C75C00">
        <w:t xml:space="preserve">shows </w:t>
      </w:r>
      <w:r>
        <w:t xml:space="preserve">that present fire regimes may have surpassed </w:t>
      </w:r>
      <w:r w:rsidR="00C75C00">
        <w:t>past</w:t>
      </w:r>
      <w:r>
        <w:t xml:space="preserve"> vegetation-induced limits </w:t>
      </w:r>
      <w:r w:rsidR="00C75C00">
        <w:t>(Kelly et al. 2013). P</w:t>
      </w:r>
      <w:r w:rsidR="00C75C00">
        <w:t>aleoecological community types are not analogous to modern emerging deciduous communities in Alaska</w:t>
      </w:r>
      <w:r w:rsidR="00C75C00">
        <w:t>:</w:t>
      </w:r>
      <w:r w:rsidR="00C75C00">
        <w:t xml:space="preserve"> local lacustrine pollen records</w:t>
      </w:r>
      <w:r w:rsidR="00C75C00">
        <w:t xml:space="preserve"> show mid-Holocene </w:t>
      </w:r>
      <w:r w:rsidR="00C75C00">
        <w:t xml:space="preserve">boreal </w:t>
      </w:r>
      <w:r w:rsidR="00C75C00">
        <w:lastRenderedPageBreak/>
        <w:t xml:space="preserve">deciduous </w:t>
      </w:r>
      <w:r w:rsidR="00C75C00">
        <w:t>environments were dominated by birch (Higuera et al. 2008) while recent studies have found alder, aspen, and even willow in dominant quantities in modern boreal forests</w:t>
      </w:r>
      <w:r w:rsidR="00C75C00">
        <w:t xml:space="preserve"> </w:t>
      </w:r>
      <w:r w:rsidR="00C75C00">
        <w:t xml:space="preserve">after multiple reburns (Hayes and </w:t>
      </w:r>
      <w:proofErr w:type="spellStart"/>
      <w:r w:rsidR="00C75C00">
        <w:t>Buma</w:t>
      </w:r>
      <w:proofErr w:type="spellEnd"/>
      <w:r w:rsidR="00C75C00">
        <w:t xml:space="preserve"> 2021). </w:t>
      </w:r>
    </w:p>
    <w:p w14:paraId="00000009" w14:textId="77777777" w:rsidR="00480052" w:rsidRDefault="00480052">
      <w:pPr>
        <w:spacing w:line="360" w:lineRule="auto"/>
      </w:pPr>
    </w:p>
    <w:p w14:paraId="0000000A" w14:textId="77777777" w:rsidR="00480052" w:rsidRDefault="009D4560">
      <w:pPr>
        <w:spacing w:line="360" w:lineRule="auto"/>
      </w:pPr>
      <w:r>
        <w:t xml:space="preserve">Secondly, preliminary observations of emerging deciduous landscapes (Hayes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p>
    <w:p w14:paraId="0000000B" w14:textId="7AFF57EC" w:rsidR="00480052" w:rsidRDefault="009D4560">
      <w:pPr>
        <w:spacing w:line="360" w:lineRule="auto"/>
      </w:pPr>
      <w:r>
        <w:br/>
        <w:t>Finally, the fire seasons of 2004 and 2005 are a tangible example of modern burning exceeding historic or paleoecologic analogs. Fires in the summer of 2004 burned more area within the season than any other year in Alaska’s 58-year historical fire record (</w:t>
      </w:r>
      <w:sdt>
        <w:sdtPr>
          <w:tag w:val="goog_rdk_1"/>
          <w:id w:val="-2118513202"/>
        </w:sdtPr>
        <w:sdtEndPr/>
        <w:sdtContent/>
      </w:sdt>
      <w:r w:rsidR="006A4AB5">
        <w:t>find something recent</w:t>
      </w:r>
      <w:r>
        <w:t>). During those record-breaking seasons, fires burned spruce and deciduous stands at similar frequencies (</w:t>
      </w:r>
      <w:proofErr w:type="spellStart"/>
      <w:r>
        <w:t>Kasischke</w:t>
      </w:r>
      <w:proofErr w:type="spellEnd"/>
      <w:r>
        <w:t xml:space="preserve"> et al. 2010). This pattern of burning suggests that deciduous stands can burn under modern extreme conditions. As extreme fire seasons (like the ones in 2004 and 2005) are expected to increase with increasing warm and dry summers (</w:t>
      </w:r>
      <w:proofErr w:type="spellStart"/>
      <w:r>
        <w:t>Balshi</w:t>
      </w:r>
      <w:proofErr w:type="spellEnd"/>
      <w:r>
        <w:t xml:space="preserve"> et al. 2009), it is possible that emerging deciduous stands will not be exempt from future fire activity and may burn in ways that diverge from past patterns.</w:t>
      </w:r>
      <w:r w:rsidR="00C75C00">
        <w:t xml:space="preserve"> </w:t>
      </w:r>
      <w:r w:rsidR="00C75C00">
        <w:t xml:space="preserve">Novel community types in combination with present climate-driven fire weather extremes may enable burning to overcome previous feedbacks. </w:t>
      </w:r>
      <w:r>
        <w:t xml:space="preserve"> Understanding the future characteristics of boreal fire regimes requires evaluating the strength of a potential negative feedback to burning driven by increasing presence of deciduous species under modern climatic and vegetation conditions. </w:t>
      </w:r>
    </w:p>
    <w:p w14:paraId="0000000C" w14:textId="77777777" w:rsidR="00480052" w:rsidRDefault="00480052">
      <w:pPr>
        <w:spacing w:line="360" w:lineRule="auto"/>
      </w:pPr>
    </w:p>
    <w:p w14:paraId="0000000D" w14:textId="02239A73" w:rsidR="00480052" w:rsidRDefault="00C75C00">
      <w:pPr>
        <w:spacing w:line="360" w:lineRule="auto"/>
        <w:rPr>
          <w:color w:val="FF0000"/>
        </w:rPr>
      </w:pPr>
      <w:bookmarkStart w:id="1" w:name="_heading=h.30j0zll" w:colFirst="0" w:colLast="0"/>
      <w:bookmarkEnd w:id="1"/>
      <w:r>
        <w:t xml:space="preserve">Fuel abundance, </w:t>
      </w:r>
      <w:proofErr w:type="gramStart"/>
      <w:r>
        <w:t>connectivity</w:t>
      </w:r>
      <w:proofErr w:type="gramEnd"/>
      <w:r>
        <w:t xml:space="preserve"> and distribution </w:t>
      </w:r>
      <w:r w:rsidR="00692D6E">
        <w:t xml:space="preserve">shape the flammability of particular stands. </w:t>
      </w:r>
      <w:proofErr w:type="spellStart"/>
      <w:r w:rsidR="009D4560">
        <w:t>Research</w:t>
      </w:r>
      <w:proofErr w:type="spellEnd"/>
      <w:r w:rsidR="009D4560">
        <w:t xml:space="preserve"> on interactions between fires in other systems suggests that legacy effects of previous </w:t>
      </w:r>
      <w:r w:rsidR="009D4560">
        <w:lastRenderedPageBreak/>
        <w:t>fires interact strongly with subsequent fires to shape future forest composition and structure (lots, Harris eat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sidR="009D4560">
        <w:rPr>
          <w:color w:val="FF0000"/>
        </w:rPr>
        <w:t xml:space="preserve"> [right </w:t>
      </w:r>
      <w:proofErr w:type="gramStart"/>
      <w:r w:rsidR="009D4560">
        <w:rPr>
          <w:color w:val="FF0000"/>
        </w:rPr>
        <w:t>now</w:t>
      </w:r>
      <w:proofErr w:type="gramEnd"/>
      <w:r w:rsidR="009D4560">
        <w:rPr>
          <w:color w:val="FF0000"/>
        </w:rPr>
        <w:t xml:space="preserve"> does not tie in well with negative feedback framing, but feels important - either tie in better or move to discussion]</w:t>
      </w:r>
    </w:p>
    <w:p w14:paraId="0000000E" w14:textId="77777777" w:rsidR="00480052" w:rsidRDefault="00480052">
      <w:pPr>
        <w:spacing w:line="360" w:lineRule="auto"/>
        <w:rPr>
          <w:color w:val="000000"/>
        </w:rPr>
      </w:pPr>
    </w:p>
    <w:p w14:paraId="0000000F" w14:textId="77777777" w:rsidR="00480052" w:rsidRDefault="009D4560">
      <w:pPr>
        <w:spacing w:line="360" w:lineRule="auto"/>
      </w:pPr>
      <w:r>
        <w:t>To examine the relationship between community type and fuel-</w:t>
      </w:r>
      <w:proofErr w:type="spellStart"/>
      <w:r>
        <w:t>scapes</w:t>
      </w:r>
      <w:proofErr w:type="spellEnd"/>
      <w:r>
        <w:t xml:space="preserve"> as driven by shortening fire intervals, we examined fine-scale fuel loads in reburned stands in Interior Alaska before modeling fire behavior in stands with differing numbers of short interval fires. </w:t>
      </w:r>
    </w:p>
    <w:p w14:paraId="00000010" w14:textId="77777777" w:rsidR="00480052" w:rsidRDefault="00480052">
      <w:pPr>
        <w:spacing w:line="360" w:lineRule="auto"/>
      </w:pPr>
    </w:p>
    <w:p w14:paraId="00000011" w14:textId="77777777" w:rsidR="00480052" w:rsidRDefault="009D4560">
      <w:pPr>
        <w:spacing w:line="360" w:lineRule="auto"/>
      </w:pPr>
      <w:r>
        <w:t>This study has two objectives: 1) evaluate how the fuel-scape (fuel composition, density, and distribution) changes with increasing short-interval reburns while considering differences between upland and lowland contexts and 2) compare modeled fire rate of spread and biomass consumed to ground metrics collected in (1). To that effect, we ask 3 specific research questions: 1) how does the abundance of CWD change with continued reburning? 2) how does the connectivity of fuels change with continued reburning? 3) do the trends in fuel patterns identified in 1 and 2 lead to differing trends in modeled fire rate spread?</w:t>
      </w:r>
    </w:p>
    <w:p w14:paraId="00000012" w14:textId="77777777" w:rsidR="00480052" w:rsidRDefault="00480052">
      <w:pPr>
        <w:spacing w:line="360" w:lineRule="auto"/>
      </w:pPr>
    </w:p>
    <w:p w14:paraId="00000013" w14:textId="77777777" w:rsidR="00480052" w:rsidRDefault="009D4560">
      <w:pPr>
        <w:spacing w:line="360" w:lineRule="auto"/>
      </w:pPr>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We hypothesize fuel connectivity and abundance will increase initially with additional fires but decrease after three short-interval fires as reburns continue to consume fuel. In addition, we expect fire behavior may differ across both reburns and community type, given the difference in stand structure created by different dominating vegetation.  </w:t>
      </w:r>
    </w:p>
    <w:p w14:paraId="00000014" w14:textId="77777777" w:rsidR="00480052" w:rsidRDefault="00480052">
      <w:pPr>
        <w:pBdr>
          <w:top w:val="nil"/>
          <w:left w:val="nil"/>
          <w:bottom w:val="nil"/>
          <w:right w:val="nil"/>
          <w:between w:val="nil"/>
        </w:pBdr>
        <w:spacing w:line="360" w:lineRule="auto"/>
        <w:ind w:left="720"/>
        <w:rPr>
          <w:color w:val="000000"/>
          <w:sz w:val="22"/>
          <w:szCs w:val="22"/>
        </w:rPr>
      </w:pPr>
    </w:p>
    <w:p w14:paraId="00000015" w14:textId="77777777" w:rsidR="00480052" w:rsidRDefault="009D4560">
      <w:pPr>
        <w:pStyle w:val="Heading2"/>
        <w:spacing w:line="360" w:lineRule="auto"/>
      </w:pPr>
      <w:bookmarkStart w:id="2" w:name="_heading=h.1fob9te" w:colFirst="0" w:colLast="0"/>
      <w:bookmarkEnd w:id="2"/>
      <w:r>
        <w:lastRenderedPageBreak/>
        <w:t>Methods</w:t>
      </w:r>
    </w:p>
    <w:p w14:paraId="00000016" w14:textId="77777777" w:rsidR="00480052" w:rsidRDefault="009D4560">
      <w:pPr>
        <w:pStyle w:val="Heading3"/>
        <w:spacing w:line="360" w:lineRule="auto"/>
      </w:pPr>
      <w:bookmarkStart w:id="3" w:name="_heading=h.ytacy9q4d9bn" w:colFirst="0" w:colLast="0"/>
      <w:bookmarkEnd w:id="3"/>
      <w:r>
        <w:t>Study Area</w:t>
      </w:r>
    </w:p>
    <w:p w14:paraId="00000017" w14:textId="61E09C93"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 42 plots were established randomly within burn perimeters. 8 additional plots were established in unburned remnants as a reference of assumed pre-fire conditions. </w:t>
      </w:r>
    </w:p>
    <w:p w14:paraId="00000018" w14:textId="77777777" w:rsidR="00480052" w:rsidRDefault="00480052">
      <w:pPr>
        <w:spacing w:line="360" w:lineRule="auto"/>
      </w:pPr>
    </w:p>
    <w:p w14:paraId="00000019" w14:textId="77777777" w:rsidR="00480052" w:rsidRDefault="009D4560">
      <w:pPr>
        <w:pStyle w:val="Heading3"/>
        <w:spacing w:line="360" w:lineRule="auto"/>
      </w:pPr>
      <w:bookmarkStart w:id="4" w:name="_heading=h.qso6pelaa3zp" w:colFirst="0" w:colLast="0"/>
      <w:bookmarkEnd w:id="4"/>
      <w:r>
        <w:t>Field Sampling</w:t>
      </w:r>
    </w:p>
    <w:p w14:paraId="0000001A" w14:textId="77777777" w:rsidR="00480052" w:rsidRDefault="009D4560">
      <w:pPr>
        <w:spacing w:line="360" w:lineRule="auto"/>
        <w:rPr>
          <w:color w:val="4472C4"/>
        </w:rPr>
      </w:pPr>
      <w:r>
        <w:t xml:space="preserve">Downed woody debris fuel loads (DWD, dead wood lying or standing below &lt;45-degree angle) were measured using two 28-m transects (also referred to as brown’s lines,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0000001B" w14:textId="77777777" w:rsidR="00480052" w:rsidRDefault="009D4560">
      <w:pPr>
        <w:spacing w:line="360" w:lineRule="auto"/>
        <w:rPr>
          <w:color w:val="70AD47"/>
        </w:rPr>
      </w:pPr>
      <w:r>
        <w:rPr>
          <w:color w:val="70AD47"/>
        </w:rPr>
        <w:br/>
      </w:r>
      <w:r>
        <w:rPr>
          <w:color w:val="000000"/>
        </w:rPr>
        <w:t>Fuel depth was measured by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0000001C" w14:textId="77777777" w:rsidR="00480052" w:rsidRDefault="00480052">
      <w:pPr>
        <w:spacing w:line="360" w:lineRule="auto"/>
        <w:rPr>
          <w:color w:val="70AD47"/>
        </w:rPr>
      </w:pPr>
    </w:p>
    <w:p w14:paraId="0000001D" w14:textId="77777777"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5"/>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5"/>
      <w:r>
        <w:commentReference w:id="5"/>
      </w:r>
      <w:r>
        <w:rPr>
          <w:color w:val="000000"/>
        </w:rPr>
        <w:t xml:space="preserve">We randomly placed 10 3D sampling frames within each plot, recording presence and absence of all </w:t>
      </w:r>
      <w:sdt>
        <w:sdtPr>
          <w:tag w:val="goog_rdk_3"/>
          <w:id w:val="-1735227855"/>
        </w:sdtPr>
        <w:sdtEndPr/>
        <w:sdtContent>
          <w:commentRangeStart w:id="6"/>
        </w:sdtContent>
      </w:sdt>
      <w:sdt>
        <w:sdtPr>
          <w:tag w:val="goog_rdk_4"/>
          <w:id w:val="1639920124"/>
        </w:sdtPr>
        <w:sdtEndPr/>
        <w:sdtContent>
          <w:commentRangeStart w:id="7"/>
        </w:sdtContent>
      </w:sdt>
      <w:sdt>
        <w:sdtPr>
          <w:tag w:val="goog_rdk_5"/>
          <w:id w:val="-726612503"/>
        </w:sdtPr>
        <w:sdtEndPr/>
        <w:sdtContent>
          <w:commentRangeStart w:id="8"/>
        </w:sdtContent>
      </w:sdt>
      <w:sdt>
        <w:sdtPr>
          <w:tag w:val="goog_rdk_6"/>
          <w:id w:val="-331684854"/>
        </w:sdtPr>
        <w:sdtEndPr/>
        <w:sdtContent>
          <w:commentRangeStart w:id="9"/>
        </w:sdtContent>
      </w:sdt>
      <w:r>
        <w:rPr>
          <w:color w:val="000000"/>
        </w:rPr>
        <w:t xml:space="preserve">fuel types </w:t>
      </w:r>
      <w:commentRangeEnd w:id="6"/>
      <w:r>
        <w:commentReference w:id="6"/>
      </w:r>
      <w:commentRangeEnd w:id="7"/>
      <w:r>
        <w:commentReference w:id="7"/>
      </w:r>
      <w:commentRangeEnd w:id="8"/>
      <w:r>
        <w:commentReference w:id="8"/>
      </w:r>
      <w:commentRangeEnd w:id="9"/>
      <w:r>
        <w:commentReference w:id="9"/>
      </w:r>
      <w:r>
        <w:rPr>
          <w:color w:val="000000"/>
        </w:rPr>
        <w:t xml:space="preserve"> (1/10/100/1000-hour fuels, forbs, shrubs, graminoids, feathermoss) within each voxel cell (n = 16). We also recorded the dominant ground cover within each sampling frame. </w:t>
      </w:r>
    </w:p>
    <w:p w14:paraId="0000001E" w14:textId="77777777" w:rsidR="00480052" w:rsidRDefault="00480052">
      <w:pPr>
        <w:spacing w:line="360" w:lineRule="auto"/>
        <w:rPr>
          <w:color w:val="000000"/>
        </w:rPr>
      </w:pPr>
    </w:p>
    <w:p w14:paraId="0000001F" w14:textId="77777777" w:rsidR="00480052" w:rsidRDefault="009D4560">
      <w:pPr>
        <w:spacing w:line="360" w:lineRule="auto"/>
        <w:rPr>
          <w:color w:val="000000"/>
        </w:rPr>
      </w:pPr>
      <w:r>
        <w:rPr>
          <w:color w:val="000000"/>
        </w:rPr>
        <w:t xml:space="preserve">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for each species across each plot (CITE).  </w:t>
      </w:r>
    </w:p>
    <w:p w14:paraId="00000020" w14:textId="77777777" w:rsidR="00480052" w:rsidRDefault="00480052">
      <w:pPr>
        <w:spacing w:line="360" w:lineRule="auto"/>
        <w:rPr>
          <w:color w:val="000000"/>
        </w:rPr>
      </w:pPr>
    </w:p>
    <w:p w14:paraId="00000021"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00000022" w14:textId="77777777" w:rsidR="00480052" w:rsidRDefault="00480052">
      <w:pPr>
        <w:spacing w:line="360" w:lineRule="auto"/>
        <w:rPr>
          <w:color w:val="000000"/>
        </w:rPr>
      </w:pPr>
    </w:p>
    <w:p w14:paraId="00000023" w14:textId="77777777" w:rsidR="00480052" w:rsidRDefault="009D4560">
      <w:pPr>
        <w:pStyle w:val="Heading3"/>
        <w:spacing w:line="360" w:lineRule="auto"/>
      </w:pPr>
      <w:bookmarkStart w:id="10" w:name="_heading=h.lvbk36hgcrdm" w:colFirst="0" w:colLast="0"/>
      <w:bookmarkEnd w:id="10"/>
      <w:r>
        <w:t>Fire behavior modeling</w:t>
      </w:r>
    </w:p>
    <w:p w14:paraId="00000024" w14:textId="77777777" w:rsidR="00480052" w:rsidRDefault="009D4560">
      <w:pPr>
        <w:spacing w:line="360" w:lineRule="auto"/>
      </w:pPr>
      <w: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00000025" w14:textId="77777777" w:rsidR="00480052" w:rsidRDefault="00480052">
      <w:pPr>
        <w:spacing w:line="360" w:lineRule="auto"/>
      </w:pPr>
    </w:p>
    <w:p w14:paraId="00000026"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0000027" w14:textId="77777777" w:rsidR="00480052" w:rsidRDefault="00480052">
      <w:pPr>
        <w:spacing w:line="360" w:lineRule="auto"/>
        <w:rPr>
          <w:color w:val="000000"/>
        </w:rPr>
      </w:pPr>
    </w:p>
    <w:p w14:paraId="00000028" w14:textId="77777777" w:rsidR="00480052" w:rsidRDefault="009D4560">
      <w:pPr>
        <w:pStyle w:val="Heading3"/>
        <w:spacing w:line="360" w:lineRule="auto"/>
      </w:pPr>
      <w:bookmarkStart w:id="11" w:name="_heading=h.1ky2guarpywx" w:colFirst="0" w:colLast="0"/>
      <w:bookmarkEnd w:id="11"/>
      <w:r>
        <w:t>Data Analysis</w:t>
      </w:r>
    </w:p>
    <w:p w14:paraId="00000029"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0000002A" w14:textId="77777777" w:rsidR="00480052" w:rsidRDefault="00480052">
      <w:pPr>
        <w:spacing w:line="360" w:lineRule="auto"/>
        <w:rPr>
          <w:b/>
        </w:rPr>
      </w:pPr>
    </w:p>
    <w:p w14:paraId="0000002B" w14:textId="77777777" w:rsidR="00480052" w:rsidRDefault="009D4560">
      <w:pPr>
        <w:pStyle w:val="Heading2"/>
        <w:spacing w:line="360" w:lineRule="auto"/>
      </w:pPr>
      <w:bookmarkStart w:id="12" w:name="_heading=h.6alijpchz6fi" w:colFirst="0" w:colLast="0"/>
      <w:bookmarkEnd w:id="12"/>
      <w:r>
        <w:lastRenderedPageBreak/>
        <w:t xml:space="preserve">Results </w:t>
      </w:r>
    </w:p>
    <w:p w14:paraId="0000002C" w14:textId="77777777" w:rsidR="00480052" w:rsidRDefault="009D4560">
      <w:pPr>
        <w:pStyle w:val="Heading3"/>
        <w:spacing w:line="360" w:lineRule="auto"/>
      </w:pPr>
      <w:bookmarkStart w:id="13" w:name="_heading=h.kauadt4jv3dr" w:colFirst="0" w:colLast="0"/>
      <w:bookmarkEnd w:id="13"/>
      <w:r>
        <w:t>Fuel abundance</w:t>
      </w:r>
    </w:p>
    <w:p w14:paraId="0000002D" w14:textId="77777777" w:rsidR="00480052" w:rsidRDefault="009D4560">
      <w:pPr>
        <w:spacing w:line="360" w:lineRule="auto"/>
      </w:pPr>
      <w:r>
        <w:t xml:space="preserve">CWD differed across reburn history, </w:t>
      </w:r>
      <w:proofErr w:type="gramStart"/>
      <w:r>
        <w:t>site</w:t>
      </w:r>
      <w:proofErr w:type="gramEnd"/>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0000002E" w14:textId="77777777" w:rsidR="00480052" w:rsidRDefault="00480052">
      <w:pPr>
        <w:spacing w:line="360" w:lineRule="auto"/>
      </w:pPr>
    </w:p>
    <w:p w14:paraId="0000002F" w14:textId="77777777" w:rsidR="00480052" w:rsidRDefault="00B96879">
      <w:sdt>
        <w:sdtPr>
          <w:tag w:val="goog_rdk_7"/>
          <w:id w:val="-867601445"/>
        </w:sdtPr>
        <w:sdtEndPr/>
        <w:sdtContent>
          <w:commentRangeStart w:id="14"/>
        </w:sdtContent>
      </w:sdt>
      <w:sdt>
        <w:sdtPr>
          <w:tag w:val="goog_rdk_8"/>
          <w:id w:val="55060252"/>
        </w:sdtPr>
        <w:sdtEndPr/>
        <w:sdtContent>
          <w:commentRangeStart w:id="15"/>
        </w:sdtContent>
      </w:sdt>
      <w:r w:rsidR="009D4560">
        <w:rPr>
          <w:b/>
        </w:rPr>
        <w:t xml:space="preserve">Figure X. Mass of fuel size classes across years since initial fire and between sites according to size classes. </w:t>
      </w:r>
      <w:r w:rsidR="009D4560">
        <w:t>[dots jittered to spread data]</w:t>
      </w:r>
      <w:commentRangeEnd w:id="14"/>
      <w:r w:rsidR="009D4560">
        <w:commentReference w:id="14"/>
      </w:r>
      <w:commentRangeEnd w:id="15"/>
      <w:r w:rsidR="009D4560">
        <w:commentReference w:id="15"/>
      </w:r>
    </w:p>
    <w:p w14:paraId="00000030" w14:textId="77777777" w:rsidR="00480052" w:rsidRDefault="009D4560">
      <w:pPr>
        <w:rPr>
          <w:b/>
        </w:rPr>
      </w:pPr>
      <w:r>
        <w:rPr>
          <w:b/>
          <w:noProof/>
        </w:rPr>
        <w:drawing>
          <wp:inline distT="0" distB="0" distL="0" distR="0" wp14:anchorId="30D0B1C3" wp14:editId="514041B5">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0"/>
                    <a:srcRect/>
                    <a:stretch>
                      <a:fillRect/>
                    </a:stretch>
                  </pic:blipFill>
                  <pic:spPr>
                    <a:xfrm>
                      <a:off x="0" y="0"/>
                      <a:ext cx="5943600" cy="3278505"/>
                    </a:xfrm>
                    <a:prstGeom prst="rect">
                      <a:avLst/>
                    </a:prstGeom>
                    <a:ln/>
                  </pic:spPr>
                </pic:pic>
              </a:graphicData>
            </a:graphic>
          </wp:inline>
        </w:drawing>
      </w:r>
    </w:p>
    <w:p w14:paraId="00000031" w14:textId="77777777" w:rsidR="00480052" w:rsidRDefault="00480052">
      <w:pPr>
        <w:spacing w:line="360" w:lineRule="auto"/>
      </w:pPr>
    </w:p>
    <w:p w14:paraId="00000032" w14:textId="77777777" w:rsidR="00480052" w:rsidRDefault="009D4560">
      <w:pPr>
        <w:pStyle w:val="Heading3"/>
        <w:spacing w:line="360" w:lineRule="auto"/>
      </w:pPr>
      <w:bookmarkStart w:id="16" w:name="_heading=h.9txb2ord534j" w:colFirst="0" w:colLast="0"/>
      <w:bookmarkEnd w:id="16"/>
      <w:r>
        <w:t xml:space="preserve">Fuel connectivity </w:t>
      </w:r>
    </w:p>
    <w:p w14:paraId="00000033" w14:textId="77777777" w:rsidR="00480052" w:rsidRDefault="009D4560">
      <w:pPr>
        <w:spacing w:line="360" w:lineRule="auto"/>
      </w:pPr>
      <w:r>
        <w:t>[describe fuel connectivity trends]</w:t>
      </w:r>
    </w:p>
    <w:p w14:paraId="00000034" w14:textId="77777777" w:rsidR="00480052" w:rsidRDefault="00480052">
      <w:pPr>
        <w:rPr>
          <w:b/>
        </w:rPr>
      </w:pPr>
    </w:p>
    <w:p w14:paraId="00000035" w14:textId="77777777" w:rsidR="00480052" w:rsidRDefault="00B96879">
      <w:pPr>
        <w:rPr>
          <w:b/>
        </w:rPr>
      </w:pPr>
      <w:sdt>
        <w:sdtPr>
          <w:tag w:val="goog_rdk_9"/>
          <w:id w:val="2118480695"/>
        </w:sdtPr>
        <w:sdtEndPr/>
        <w:sdtContent>
          <w:commentRangeStart w:id="17"/>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17"/>
      <w:r w:rsidR="009D4560">
        <w:commentReference w:id="17"/>
      </w:r>
    </w:p>
    <w:p w14:paraId="00000036" w14:textId="77777777" w:rsidR="00480052" w:rsidRDefault="009D4560">
      <w:pPr>
        <w:spacing w:line="360" w:lineRule="auto"/>
      </w:pPr>
      <w:r>
        <w:rPr>
          <w:noProof/>
        </w:rPr>
        <w:lastRenderedPageBreak/>
        <w:drawing>
          <wp:inline distT="0" distB="0" distL="0" distR="0" wp14:anchorId="29259B9D" wp14:editId="22CFAE3A">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1"/>
                    <a:srcRect/>
                    <a:stretch>
                      <a:fillRect/>
                    </a:stretch>
                  </pic:blipFill>
                  <pic:spPr>
                    <a:xfrm>
                      <a:off x="0" y="0"/>
                      <a:ext cx="4029107" cy="3252287"/>
                    </a:xfrm>
                    <a:prstGeom prst="rect">
                      <a:avLst/>
                    </a:prstGeom>
                    <a:ln/>
                  </pic:spPr>
                </pic:pic>
              </a:graphicData>
            </a:graphic>
          </wp:inline>
        </w:drawing>
      </w:r>
    </w:p>
    <w:p w14:paraId="00000037" w14:textId="77777777" w:rsidR="00480052" w:rsidRDefault="00480052">
      <w:pPr>
        <w:rPr>
          <w:b/>
        </w:rPr>
      </w:pPr>
    </w:p>
    <w:p w14:paraId="00000038" w14:textId="77777777" w:rsidR="00480052" w:rsidRDefault="009D4560">
      <w:pPr>
        <w:pStyle w:val="Heading2"/>
        <w:spacing w:line="360" w:lineRule="auto"/>
      </w:pPr>
      <w:bookmarkStart w:id="18" w:name="_heading=h.cvp1z2fqe0zg" w:colFirst="0" w:colLast="0"/>
      <w:bookmarkEnd w:id="18"/>
      <w:r>
        <w:t>Discussion</w:t>
      </w:r>
    </w:p>
    <w:p w14:paraId="00000039" w14:textId="77777777" w:rsidR="00480052" w:rsidRDefault="009D4560">
      <w:pPr>
        <w:spacing w:line="360" w:lineRule="auto"/>
        <w:rPr>
          <w:b/>
        </w:rPr>
      </w:pPr>
      <w:r>
        <w:t xml:space="preserve">The presence of less-flammable deciduous species has been invoked as a landscape management solution to boreal warming, based on paleoecological evidence of declining fire activity found alongside increases in birch pollen presence (Kelly et al. 2013, Brubaker et al. 2009). </w:t>
      </w:r>
    </w:p>
    <w:p w14:paraId="0000003A" w14:textId="77777777" w:rsidR="00480052" w:rsidRDefault="00480052">
      <w:pPr>
        <w:spacing w:line="360" w:lineRule="auto"/>
        <w:rPr>
          <w:b/>
        </w:rPr>
      </w:pPr>
    </w:p>
    <w:p w14:paraId="0000003B" w14:textId="77777777" w:rsidR="00480052" w:rsidRDefault="009D4560">
      <w:pPr>
        <w:pStyle w:val="Heading2"/>
        <w:spacing w:line="360" w:lineRule="auto"/>
      </w:pPr>
      <w:bookmarkStart w:id="19" w:name="_heading=h.8nw2kotdx536" w:colFirst="0" w:colLast="0"/>
      <w:bookmarkEnd w:id="19"/>
      <w:r>
        <w:t>Acknowledgements</w:t>
      </w:r>
    </w:p>
    <w:p w14:paraId="0000003C" w14:textId="77777777" w:rsidR="00480052" w:rsidRDefault="009D4560">
      <w:pPr>
        <w:spacing w:line="360" w:lineRule="auto"/>
      </w:pPr>
      <w:r>
        <w:t>This study was funded by support from the NSF Polar Services Office () and a Graduate Innovation Award from the Joint Fire Science Program (ID 19-1-01-43).</w:t>
      </w:r>
    </w:p>
    <w:p w14:paraId="0000003D" w14:textId="77777777" w:rsidR="00480052" w:rsidRDefault="009D4560">
      <w:pPr>
        <w:pStyle w:val="Heading2"/>
        <w:spacing w:line="360" w:lineRule="auto"/>
        <w:rPr>
          <w:rFonts w:ascii="Calibri" w:eastAsia="Calibri" w:hAnsi="Calibri" w:cs="Calibri"/>
        </w:rPr>
      </w:pPr>
      <w:bookmarkStart w:id="20" w:name="_heading=h.3znysh7" w:colFirst="0" w:colLast="0"/>
      <w:bookmarkEnd w:id="20"/>
      <w:r>
        <w:rPr>
          <w:rFonts w:ascii="Calibri" w:eastAsia="Calibri" w:hAnsi="Calibri" w:cs="Calibri"/>
        </w:rPr>
        <w:t xml:space="preserve">References </w:t>
      </w:r>
    </w:p>
    <w:p w14:paraId="0000003E"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0000003F"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0000040"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0000041"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00000042" w14:textId="00E3AE9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39AD7BA5" w14:textId="05FCBBBC"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00000043"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00000044"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0000045"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00000047"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00000048"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00000049"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0000004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0000004B"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0000004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0000004D"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000004E"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0000004F" w14:textId="77777777" w:rsidR="00480052" w:rsidRDefault="009D4560">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00000050" w14:textId="77777777" w:rsidR="00480052" w:rsidRDefault="009D4560">
      <w:pPr>
        <w:rPr>
          <w:color w:val="000000"/>
          <w:sz w:val="20"/>
          <w:szCs w:val="20"/>
        </w:rPr>
      </w:pPr>
      <w:r>
        <w:lastRenderedPageBreak/>
        <w:br w:type="page"/>
      </w:r>
    </w:p>
    <w:p w14:paraId="00000051" w14:textId="77777777" w:rsidR="00480052" w:rsidRDefault="009D4560">
      <w:pPr>
        <w:spacing w:line="360" w:lineRule="auto"/>
        <w:rPr>
          <w:color w:val="000000"/>
          <w:sz w:val="28"/>
          <w:szCs w:val="28"/>
        </w:rPr>
      </w:pPr>
      <w:r>
        <w:rPr>
          <w:color w:val="000000"/>
          <w:sz w:val="28"/>
          <w:szCs w:val="28"/>
        </w:rPr>
        <w:lastRenderedPageBreak/>
        <w:t>Appendix</w:t>
      </w:r>
    </w:p>
    <w:p w14:paraId="0000005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21"/>
        </w:sdtContent>
      </w:sdt>
      <w:r>
        <w:rPr>
          <w:b/>
        </w:rPr>
        <w:t xml:space="preserve">Normalized weight loss is measured as the water weight lost after drying (wet weight – dry weight), divided by the initial wet weight in grams. </w:t>
      </w:r>
      <w:commentRangeEnd w:id="21"/>
      <w:r>
        <w:commentReference w:id="21"/>
      </w:r>
    </w:p>
    <w:p w14:paraId="00000053" w14:textId="77777777" w:rsidR="00480052" w:rsidRDefault="009D4560">
      <w:pPr>
        <w:spacing w:line="360" w:lineRule="auto"/>
        <w:rPr>
          <w:color w:val="000000"/>
          <w:sz w:val="22"/>
          <w:szCs w:val="22"/>
        </w:rPr>
      </w:pPr>
      <w:r>
        <w:rPr>
          <w:noProof/>
          <w:color w:val="000000"/>
          <w:sz w:val="22"/>
          <w:szCs w:val="22"/>
        </w:rPr>
        <w:drawing>
          <wp:inline distT="0" distB="0" distL="0" distR="0" wp14:anchorId="145BB8E5" wp14:editId="1DD0EA28">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2"/>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72B3C683" wp14:editId="75D38274">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3"/>
                    <a:srcRect/>
                    <a:stretch>
                      <a:fillRect/>
                    </a:stretch>
                  </pic:blipFill>
                  <pic:spPr>
                    <a:xfrm>
                      <a:off x="0" y="0"/>
                      <a:ext cx="7084946" cy="1816653"/>
                    </a:xfrm>
                    <a:prstGeom prst="rect">
                      <a:avLst/>
                    </a:prstGeom>
                    <a:ln/>
                  </pic:spPr>
                </pic:pic>
              </a:graphicData>
            </a:graphic>
          </wp:inline>
        </w:drawing>
      </w:r>
    </w:p>
    <w:sectPr w:rsidR="00480052">
      <w:footerReference w:type="even"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yes, Katherine" w:date="2021-06-07T08:31:00Z" w:initials="">
    <w:p w14:paraId="00000063"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6" w:author="Hayes, Katherine" w:date="2021-03-09T08:49:00Z" w:initials="">
    <w:p w14:paraId="0000005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Hawley uses 10 </w:t>
      </w:r>
      <w:proofErr w:type="spellStart"/>
      <w:r>
        <w:rPr>
          <w:rFonts w:ascii="Arial" w:eastAsia="Arial" w:hAnsi="Arial" w:cs="Arial"/>
          <w:color w:val="000000"/>
          <w:sz w:val="22"/>
          <w:szCs w:val="22"/>
        </w:rPr>
        <w:t>hr</w:t>
      </w:r>
      <w:proofErr w:type="spellEnd"/>
      <w:r>
        <w:rPr>
          <w:rFonts w:ascii="Arial" w:eastAsia="Arial" w:hAnsi="Arial" w:cs="Arial"/>
          <w:color w:val="000000"/>
          <w:sz w:val="22"/>
          <w:szCs w:val="22"/>
        </w:rPr>
        <w:t xml:space="preserve">, 100-1000 </w:t>
      </w:r>
      <w:proofErr w:type="spellStart"/>
      <w:r>
        <w:rPr>
          <w:rFonts w:ascii="Arial" w:eastAsia="Arial" w:hAnsi="Arial" w:cs="Arial"/>
          <w:color w:val="000000"/>
          <w:sz w:val="22"/>
          <w:szCs w:val="22"/>
        </w:rPr>
        <w:t>hr</w:t>
      </w:r>
      <w:proofErr w:type="spellEnd"/>
      <w:r>
        <w:rPr>
          <w:rFonts w:ascii="Arial" w:eastAsia="Arial" w:hAnsi="Arial" w:cs="Arial"/>
          <w:color w:val="000000"/>
          <w:sz w:val="22"/>
          <w:szCs w:val="22"/>
        </w:rPr>
        <w:t xml:space="preserve">, pine litter, wiregrass/bunchgrass, other graminoids, shrubs, volatile shrubs, forbs, </w:t>
      </w:r>
      <w:proofErr w:type="gramStart"/>
      <w:r>
        <w:rPr>
          <w:rFonts w:ascii="Arial" w:eastAsia="Arial" w:hAnsi="Arial" w:cs="Arial"/>
          <w:color w:val="000000"/>
          <w:sz w:val="22"/>
          <w:szCs w:val="22"/>
        </w:rPr>
        <w:t>pine cones</w:t>
      </w:r>
      <w:proofErr w:type="gramEnd"/>
      <w:r>
        <w:rPr>
          <w:rFonts w:ascii="Arial" w:eastAsia="Arial" w:hAnsi="Arial" w:cs="Arial"/>
          <w:color w:val="000000"/>
          <w:sz w:val="22"/>
          <w:szCs w:val="22"/>
        </w:rPr>
        <w:t>, deciduous oak litter, evergreen oak litter, longleaf pine litter</w:t>
      </w:r>
    </w:p>
  </w:comment>
  <w:comment w:id="7" w:author="Hayes, Katherine" w:date="2021-03-09T08:51:00Z" w:initials="">
    <w:p w14:paraId="00000060"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I’ve been looking at the fuel model guides for AK vegetation - Thinking we’d use 10/100/100 </w:t>
      </w:r>
      <w:proofErr w:type="spellStart"/>
      <w:r>
        <w:rPr>
          <w:rFonts w:ascii="Arial" w:eastAsia="Arial" w:hAnsi="Arial" w:cs="Arial"/>
          <w:color w:val="000000"/>
          <w:sz w:val="22"/>
          <w:szCs w:val="22"/>
        </w:rPr>
        <w:t>hr</w:t>
      </w:r>
      <w:proofErr w:type="spellEnd"/>
      <w:r>
        <w:rPr>
          <w:rFonts w:ascii="Arial" w:eastAsia="Arial" w:hAnsi="Arial" w:cs="Arial"/>
          <w:color w:val="000000"/>
          <w:sz w:val="22"/>
          <w:szCs w:val="22"/>
        </w:rPr>
        <w:t>, forbs, shrubs, graminoids, feathermoss, maybe duff/SOL height?</w:t>
      </w:r>
    </w:p>
  </w:comment>
  <w:comment w:id="8" w:author="Hayes, Katherine" w:date="2021-03-09T09:04:00Z" w:initials="">
    <w:p w14:paraId="00000061"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color w:val="000000"/>
          <w:sz w:val="22"/>
          <w:szCs w:val="22"/>
        </w:rPr>
        <w:t>Definitely want</w:t>
      </w:r>
      <w:proofErr w:type="gramEnd"/>
      <w:r>
        <w:rPr>
          <w:rFonts w:ascii="Arial" w:eastAsia="Arial" w:hAnsi="Arial" w:cs="Arial"/>
          <w:color w:val="000000"/>
          <w:sz w:val="22"/>
          <w:szCs w:val="22"/>
        </w:rPr>
        <w:t xml:space="preserve"> to talk to chad about this, and maybe someone like Randi too</w:t>
      </w:r>
    </w:p>
  </w:comment>
  <w:comment w:id="9" w:author="Brian Buma" w:date="2021-04-01T12:59:00Z" w:initials="">
    <w:p w14:paraId="00000062"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Yeah, those seem reasonable.  Duff would be important to capture, but we may have that already.  Randi would be a good person to talk to about other categories/combining categories, yes.</w:t>
      </w:r>
    </w:p>
  </w:comment>
  <w:comment w:id="14" w:author="Hayes, Katherine" w:date="2021-03-29T12:59:00Z" w:initials="">
    <w:p w14:paraId="0000005D"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5" w:author="Brian Buma" w:date="2021-04-01T13:34:00Z" w:initials="">
    <w:p w14:paraId="0000005E"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17" w:author="Brian Buma" w:date="2021-04-01T13:35:00Z" w:initials="">
    <w:p w14:paraId="0000005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21" w:author="Hayes, Katherine" w:date="2021-03-29T13:06:00Z" w:initials="">
    <w:p w14:paraId="0000005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0000005A"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000005B"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3" w15:done="1"/>
  <w15:commentEx w15:paraId="0000005F" w15:done="1"/>
  <w15:commentEx w15:paraId="00000060" w15:paraIdParent="0000005F" w15:done="1"/>
  <w15:commentEx w15:paraId="00000061" w15:paraIdParent="0000005F" w15:done="1"/>
  <w15:commentEx w15:paraId="00000062" w15:paraIdParent="0000005F" w15:done="1"/>
  <w15:commentEx w15:paraId="0000005D" w15:done="0"/>
  <w15:commentEx w15:paraId="0000005E" w15:paraIdParent="0000005D" w15:done="0"/>
  <w15:commentEx w15:paraId="00000058" w15:done="0"/>
  <w15:commentEx w15:paraId="00000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3" w16cid:durableId="24A137B2"/>
  <w16cid:commentId w16cid:paraId="0000005F" w16cid:durableId="24A137B1"/>
  <w16cid:commentId w16cid:paraId="00000060" w16cid:durableId="24A137B0"/>
  <w16cid:commentId w16cid:paraId="00000061" w16cid:durableId="24A137AF"/>
  <w16cid:commentId w16cid:paraId="00000062" w16cid:durableId="24A137AE"/>
  <w16cid:commentId w16cid:paraId="0000005D" w16cid:durableId="24A137AD"/>
  <w16cid:commentId w16cid:paraId="0000005E" w16cid:durableId="24A137AC"/>
  <w16cid:commentId w16cid:paraId="00000058" w16cid:durableId="24A137AB"/>
  <w16cid:commentId w16cid:paraId="0000005B"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9D02" w14:textId="77777777" w:rsidR="00B96879" w:rsidRDefault="00B96879">
      <w:r>
        <w:separator/>
      </w:r>
    </w:p>
  </w:endnote>
  <w:endnote w:type="continuationSeparator" w:id="0">
    <w:p w14:paraId="03BB7524" w14:textId="77777777" w:rsidR="00B96879" w:rsidRDefault="00B9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B96879">
      <w:rPr>
        <w:color w:val="000000"/>
      </w:rPr>
      <w:fldChar w:fldCharType="separate"/>
    </w:r>
    <w:r>
      <w:rPr>
        <w:color w:val="000000"/>
      </w:rPr>
      <w:fldChar w:fldCharType="end"/>
    </w:r>
  </w:p>
  <w:p w14:paraId="00000057"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59459BD8"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00000055"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E8A4" w14:textId="77777777" w:rsidR="00B96879" w:rsidRDefault="00B96879">
      <w:r>
        <w:separator/>
      </w:r>
    </w:p>
  </w:footnote>
  <w:footnote w:type="continuationSeparator" w:id="0">
    <w:p w14:paraId="334D5B3B" w14:textId="77777777" w:rsidR="00B96879" w:rsidRDefault="00B9687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S427F577B868Z689"/>
    <w:docVar w:name="paperpile-doc-name" w:val="fuel_draft.docx"/>
  </w:docVars>
  <w:rsids>
    <w:rsidRoot w:val="00480052"/>
    <w:rsid w:val="00480052"/>
    <w:rsid w:val="00692D6E"/>
    <w:rsid w:val="006A4AB5"/>
    <w:rsid w:val="009D4560"/>
    <w:rsid w:val="00B96879"/>
    <w:rsid w:val="00C7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B78BE"/>
  <w15:docId w15:val="{5634AD34-A74D-5748-8709-71F5D7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eastAsiaTheme="majorEastAsia"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3</cp:revision>
  <cp:lastPrinted>2021-07-20T17:55:00Z</cp:lastPrinted>
  <dcterms:created xsi:type="dcterms:W3CDTF">2021-04-02T15:35:00Z</dcterms:created>
  <dcterms:modified xsi:type="dcterms:W3CDTF">2021-07-20T19:12:00Z</dcterms:modified>
</cp:coreProperties>
</file>