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F73D" w14:textId="77777777" w:rsidR="00487B6E" w:rsidRPr="00C33320" w:rsidRDefault="00C33320" w:rsidP="00487B6E">
      <w:pPr>
        <w:pStyle w:val="Heading2"/>
        <w:rPr>
          <w:i w:val="0"/>
          <w:iCs/>
        </w:rPr>
      </w:pPr>
      <w:r>
        <w:rPr>
          <w:i w:val="0"/>
          <w:iCs/>
        </w:rPr>
        <w:t>Appendix: Supplementary Material</w:t>
      </w:r>
    </w:p>
    <w:p w14:paraId="2B59C105" w14:textId="77777777" w:rsidR="00487B6E" w:rsidRPr="00487B6E" w:rsidRDefault="00487B6E" w:rsidP="00487B6E"/>
    <w:p w14:paraId="2D4E98D6" w14:textId="77777777" w:rsidR="00487B6E" w:rsidRPr="001F473C" w:rsidRDefault="00487B6E" w:rsidP="00487B6E">
      <w:pPr>
        <w:spacing w:line="240" w:lineRule="auto"/>
        <w:rPr>
          <w:rFonts w:cs="Times New Roman"/>
          <w:i/>
          <w:iCs/>
          <w:color w:val="000000" w:themeColor="text1"/>
        </w:rPr>
      </w:pPr>
      <w:r w:rsidRPr="003B1D2D">
        <w:rPr>
          <w:b/>
          <w:bCs/>
        </w:rPr>
        <w:t>Article Title:</w:t>
      </w:r>
      <w:r w:rsidRPr="001355CF">
        <w:rPr>
          <w:i/>
          <w:iCs/>
        </w:rPr>
        <w:t xml:space="preserve"> </w:t>
      </w:r>
      <w:r w:rsidRPr="001F473C">
        <w:rPr>
          <w:rFonts w:cs="Times New Roman"/>
          <w:i/>
          <w:iCs/>
          <w:color w:val="000000" w:themeColor="text1"/>
        </w:rPr>
        <w:t>Fuel constraints not fire weather conditions limit fire behavior in reburned boreal forests</w:t>
      </w:r>
    </w:p>
    <w:p w14:paraId="3B4A102D" w14:textId="77777777" w:rsidR="00487B6E" w:rsidRPr="001F473C" w:rsidRDefault="00487B6E" w:rsidP="00487B6E">
      <w:pPr>
        <w:spacing w:line="240" w:lineRule="auto"/>
        <w:rPr>
          <w:rFonts w:cs="Times New Roman"/>
        </w:rPr>
      </w:pPr>
      <w:r w:rsidRPr="001F473C">
        <w:rPr>
          <w:rFonts w:cs="Times New Roman"/>
          <w:b/>
          <w:bCs/>
        </w:rPr>
        <w:t>Authors:</w:t>
      </w:r>
      <w:r w:rsidRPr="001F473C">
        <w:rPr>
          <w:rFonts w:cs="Times New Roman"/>
        </w:rPr>
        <w:t xml:space="preserve"> Katherine Haye</w:t>
      </w:r>
      <w:r>
        <w:rPr>
          <w:rFonts w:cs="Times New Roman"/>
        </w:rPr>
        <w:t>s</w:t>
      </w:r>
      <w:r w:rsidRPr="001F473C">
        <w:rPr>
          <w:rFonts w:cs="Times New Roman"/>
        </w:rPr>
        <w:t>, Chad Hoffma</w:t>
      </w:r>
      <w:r>
        <w:rPr>
          <w:rFonts w:cs="Times New Roman"/>
        </w:rPr>
        <w:t>n</w:t>
      </w:r>
      <w:r w:rsidRPr="001F473C">
        <w:rPr>
          <w:rFonts w:cs="Times New Roman"/>
        </w:rPr>
        <w:t>, Rod Zin</w:t>
      </w:r>
      <w:r>
        <w:rPr>
          <w:rFonts w:cs="Times New Roman"/>
        </w:rPr>
        <w:t>,</w:t>
      </w:r>
      <w:r w:rsidRPr="001F473C">
        <w:rPr>
          <w:rFonts w:cs="Times New Roman"/>
        </w:rPr>
        <w:t xml:space="preserve"> Justin Ziegler, Brian Buma</w:t>
      </w:r>
    </w:p>
    <w:p w14:paraId="235B5E4C" w14:textId="77777777" w:rsidR="00487B6E" w:rsidRPr="003B1D2D" w:rsidRDefault="00487B6E" w:rsidP="00487B6E">
      <w:pPr>
        <w:suppressLineNumbers/>
        <w:spacing w:line="240" w:lineRule="auto"/>
      </w:pPr>
    </w:p>
    <w:p w14:paraId="033D5C2F" w14:textId="77777777" w:rsidR="00487B6E" w:rsidRPr="004074B0" w:rsidRDefault="00487B6E" w:rsidP="00CE651E">
      <w:pPr>
        <w:pStyle w:val="Heading3"/>
      </w:pPr>
      <w:proofErr w:type="spellStart"/>
      <w:r>
        <w:t>Allometrics</w:t>
      </w:r>
      <w:proofErr w:type="spellEnd"/>
    </w:p>
    <w:tbl>
      <w:tblPr>
        <w:tblStyle w:val="TableGrid"/>
        <w:tblW w:w="0" w:type="auto"/>
        <w:tblLayout w:type="fixed"/>
        <w:tblLook w:val="04A0" w:firstRow="1" w:lastRow="0" w:firstColumn="1" w:lastColumn="0" w:noHBand="0" w:noVBand="1"/>
      </w:tblPr>
      <w:tblGrid>
        <w:gridCol w:w="1435"/>
        <w:gridCol w:w="1260"/>
        <w:gridCol w:w="995"/>
        <w:gridCol w:w="1975"/>
        <w:gridCol w:w="810"/>
        <w:gridCol w:w="1350"/>
        <w:gridCol w:w="1170"/>
      </w:tblGrid>
      <w:tr w:rsidR="00487B6E" w:rsidRPr="003B1D2D" w14:paraId="5C9269C6" w14:textId="77777777" w:rsidTr="0067138B">
        <w:tc>
          <w:tcPr>
            <w:tcW w:w="8995" w:type="dxa"/>
            <w:gridSpan w:val="7"/>
            <w:tcBorders>
              <w:top w:val="nil"/>
              <w:left w:val="nil"/>
              <w:bottom w:val="single" w:sz="4" w:space="0" w:color="auto"/>
              <w:right w:val="nil"/>
            </w:tcBorders>
          </w:tcPr>
          <w:p w14:paraId="640630FE" w14:textId="77777777" w:rsidR="00487B6E" w:rsidRPr="004074B0" w:rsidRDefault="00487B6E" w:rsidP="00CE651E">
            <w:pPr>
              <w:pStyle w:val="Heading3"/>
              <w:spacing w:line="240" w:lineRule="auto"/>
              <w:rPr>
                <w:rFonts w:cs="Times New Roman"/>
              </w:rPr>
            </w:pPr>
            <w:r w:rsidRPr="001B16D2">
              <w:rPr>
                <w:rStyle w:val="Heading2Char"/>
              </w:rPr>
              <w:t>Table S1. Allometric equations used to calculate aboveground biomass,</w:t>
            </w:r>
            <w:r w:rsidRPr="001B16D2">
              <w:t xml:space="preserve"> </w:t>
            </w:r>
            <w:r w:rsidRPr="001355CF">
              <w:t>reported by species. Y represents aboveground dry biomass in grams. DBH stands for diameter at breast height (measured and reported in centimeters), MSE stands for mean square error, SE stands for standard error.</w:t>
            </w:r>
          </w:p>
        </w:tc>
      </w:tr>
      <w:tr w:rsidR="00487B6E" w:rsidRPr="003B1D2D" w14:paraId="3792D85F" w14:textId="77777777" w:rsidTr="0067138B">
        <w:tc>
          <w:tcPr>
            <w:tcW w:w="1435" w:type="dxa"/>
            <w:tcBorders>
              <w:top w:val="single" w:sz="4" w:space="0" w:color="auto"/>
              <w:left w:val="nil"/>
            </w:tcBorders>
          </w:tcPr>
          <w:p w14:paraId="77F0B82E" w14:textId="77777777" w:rsidR="00487B6E" w:rsidRPr="00593B18" w:rsidRDefault="00487B6E" w:rsidP="0067138B">
            <w:pPr>
              <w:spacing w:line="240" w:lineRule="auto"/>
            </w:pPr>
            <w:r w:rsidRPr="00593B18">
              <w:t>Species</w:t>
            </w:r>
          </w:p>
        </w:tc>
        <w:tc>
          <w:tcPr>
            <w:tcW w:w="1260" w:type="dxa"/>
            <w:tcBorders>
              <w:top w:val="single" w:sz="4" w:space="0" w:color="auto"/>
            </w:tcBorders>
          </w:tcPr>
          <w:p w14:paraId="68D6A216" w14:textId="77777777" w:rsidR="00487B6E" w:rsidRPr="00593B18" w:rsidRDefault="00487B6E" w:rsidP="0067138B">
            <w:pPr>
              <w:spacing w:line="240" w:lineRule="auto"/>
              <w:rPr>
                <w:bCs/>
              </w:rPr>
            </w:pPr>
            <w:r w:rsidRPr="00593B18">
              <w:rPr>
                <w:bCs/>
              </w:rPr>
              <w:t>Source</w:t>
            </w:r>
          </w:p>
        </w:tc>
        <w:tc>
          <w:tcPr>
            <w:tcW w:w="2970" w:type="dxa"/>
            <w:gridSpan w:val="2"/>
            <w:tcBorders>
              <w:top w:val="single" w:sz="4" w:space="0" w:color="auto"/>
            </w:tcBorders>
          </w:tcPr>
          <w:p w14:paraId="0D151D0F" w14:textId="77777777" w:rsidR="00487B6E" w:rsidRPr="00593B18" w:rsidRDefault="00487B6E" w:rsidP="0067138B">
            <w:pPr>
              <w:spacing w:line="240" w:lineRule="auto"/>
              <w:rPr>
                <w:bCs/>
              </w:rPr>
            </w:pPr>
            <w:r w:rsidRPr="00593B18">
              <w:rPr>
                <w:bCs/>
              </w:rPr>
              <w:t>Equation</w:t>
            </w:r>
          </w:p>
        </w:tc>
        <w:tc>
          <w:tcPr>
            <w:tcW w:w="810" w:type="dxa"/>
            <w:tcBorders>
              <w:top w:val="single" w:sz="4" w:space="0" w:color="auto"/>
            </w:tcBorders>
          </w:tcPr>
          <w:p w14:paraId="7E086D9C" w14:textId="77777777" w:rsidR="00487B6E" w:rsidRPr="00593B18" w:rsidRDefault="00487B6E" w:rsidP="0067138B">
            <w:pPr>
              <w:spacing w:line="240" w:lineRule="auto"/>
              <w:rPr>
                <w:bCs/>
              </w:rPr>
            </w:pPr>
            <w:r w:rsidRPr="00593B18">
              <w:rPr>
                <w:bCs/>
              </w:rPr>
              <w:t>R</w:t>
            </w:r>
            <w:r w:rsidRPr="00593B18">
              <w:rPr>
                <w:bCs/>
                <w:vertAlign w:val="superscript"/>
              </w:rPr>
              <w:t>2</w:t>
            </w:r>
          </w:p>
        </w:tc>
        <w:tc>
          <w:tcPr>
            <w:tcW w:w="1350" w:type="dxa"/>
            <w:tcBorders>
              <w:top w:val="single" w:sz="4" w:space="0" w:color="auto"/>
            </w:tcBorders>
          </w:tcPr>
          <w:p w14:paraId="2461FD79" w14:textId="77777777" w:rsidR="00487B6E" w:rsidRPr="00593B18" w:rsidRDefault="00487B6E" w:rsidP="0067138B">
            <w:pPr>
              <w:spacing w:line="240" w:lineRule="auto"/>
              <w:rPr>
                <w:bCs/>
              </w:rPr>
            </w:pPr>
            <w:r>
              <w:rPr>
                <w:bCs/>
              </w:rPr>
              <w:t>Published</w:t>
            </w:r>
            <w:r w:rsidRPr="00593B18">
              <w:rPr>
                <w:bCs/>
              </w:rPr>
              <w:t xml:space="preserve"> DBH range</w:t>
            </w:r>
          </w:p>
        </w:tc>
        <w:tc>
          <w:tcPr>
            <w:tcW w:w="1170" w:type="dxa"/>
            <w:tcBorders>
              <w:top w:val="single" w:sz="4" w:space="0" w:color="auto"/>
              <w:right w:val="nil"/>
            </w:tcBorders>
          </w:tcPr>
          <w:p w14:paraId="5E45D1EA" w14:textId="77777777" w:rsidR="00487B6E" w:rsidRPr="00593B18" w:rsidRDefault="00487B6E" w:rsidP="0067138B">
            <w:pPr>
              <w:spacing w:line="240" w:lineRule="auto"/>
              <w:rPr>
                <w:bCs/>
              </w:rPr>
            </w:pPr>
            <w:r w:rsidRPr="00593B18">
              <w:rPr>
                <w:bCs/>
              </w:rPr>
              <w:t xml:space="preserve">Our DBH range </w:t>
            </w:r>
          </w:p>
        </w:tc>
      </w:tr>
      <w:tr w:rsidR="00487B6E" w:rsidRPr="003B1D2D" w14:paraId="7485AA98" w14:textId="77777777" w:rsidTr="0067138B">
        <w:tc>
          <w:tcPr>
            <w:tcW w:w="1435" w:type="dxa"/>
            <w:tcBorders>
              <w:left w:val="nil"/>
            </w:tcBorders>
          </w:tcPr>
          <w:p w14:paraId="1783909A" w14:textId="77777777" w:rsidR="00487B6E" w:rsidRPr="00593B18" w:rsidRDefault="00487B6E" w:rsidP="0067138B">
            <w:pPr>
              <w:spacing w:line="240" w:lineRule="auto"/>
              <w:rPr>
                <w:i/>
                <w:iCs/>
              </w:rPr>
            </w:pPr>
            <w:r w:rsidRPr="00593B18">
              <w:rPr>
                <w:i/>
                <w:iCs/>
              </w:rPr>
              <w:t xml:space="preserve">Populus </w:t>
            </w:r>
            <w:proofErr w:type="spellStart"/>
            <w:r w:rsidRPr="00593B18">
              <w:rPr>
                <w:i/>
                <w:iCs/>
              </w:rPr>
              <w:t>tremuloides</w:t>
            </w:r>
            <w:proofErr w:type="spellEnd"/>
          </w:p>
        </w:tc>
        <w:tc>
          <w:tcPr>
            <w:tcW w:w="1260" w:type="dxa"/>
          </w:tcPr>
          <w:p w14:paraId="2D4F207D" w14:textId="77777777"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14:paraId="4F9E2C42" w14:textId="77777777" w:rsidR="00487B6E" w:rsidRPr="00593B18" w:rsidRDefault="00487B6E" w:rsidP="0067138B">
            <w:pPr>
              <w:spacing w:line="240" w:lineRule="auto"/>
              <w:rPr>
                <w:bCs/>
                <w:vertAlign w:val="superscript"/>
              </w:rPr>
            </w:pPr>
            <w:r w:rsidRPr="00593B18">
              <w:rPr>
                <w:bCs/>
              </w:rPr>
              <w:t>Log</w:t>
            </w:r>
            <w:r w:rsidRPr="00593B18">
              <w:rPr>
                <w:bCs/>
                <w:vertAlign w:val="subscript"/>
              </w:rPr>
              <w:t>10</w:t>
            </w:r>
            <w:r w:rsidRPr="00593B18">
              <w:rPr>
                <w:bCs/>
              </w:rPr>
              <w:t>Y = 2.614 +</w:t>
            </w:r>
            <w:r>
              <w:rPr>
                <w:bCs/>
              </w:rPr>
              <w:t xml:space="preserve"> </w:t>
            </w:r>
            <w:r w:rsidRPr="00593B18">
              <w:rPr>
                <w:bCs/>
              </w:rPr>
              <w:t>0.852*(log</w:t>
            </w:r>
            <w:r w:rsidRPr="00593B18">
              <w:rPr>
                <w:bCs/>
                <w:vertAlign w:val="subscript"/>
              </w:rPr>
              <w:t>10</w:t>
            </w:r>
            <w:r w:rsidRPr="00593B18">
              <w:rPr>
                <w:bCs/>
              </w:rPr>
              <w:t>DBH)</w:t>
            </w:r>
          </w:p>
        </w:tc>
        <w:tc>
          <w:tcPr>
            <w:tcW w:w="810" w:type="dxa"/>
          </w:tcPr>
          <w:p w14:paraId="0214B972" w14:textId="77777777" w:rsidR="00487B6E" w:rsidRPr="00593B18" w:rsidRDefault="00487B6E" w:rsidP="0067138B">
            <w:pPr>
              <w:spacing w:line="240" w:lineRule="auto"/>
              <w:rPr>
                <w:bCs/>
              </w:rPr>
            </w:pPr>
            <w:r w:rsidRPr="00593B18">
              <w:rPr>
                <w:bCs/>
              </w:rPr>
              <w:t>0.99</w:t>
            </w:r>
          </w:p>
        </w:tc>
        <w:tc>
          <w:tcPr>
            <w:tcW w:w="1350" w:type="dxa"/>
          </w:tcPr>
          <w:p w14:paraId="701AF93E" w14:textId="77777777" w:rsidR="00487B6E" w:rsidRPr="00593B18" w:rsidRDefault="00487B6E" w:rsidP="0067138B">
            <w:pPr>
              <w:spacing w:line="240" w:lineRule="auto"/>
              <w:rPr>
                <w:bCs/>
              </w:rPr>
            </w:pPr>
            <w:r w:rsidRPr="00593B18">
              <w:rPr>
                <w:bCs/>
              </w:rPr>
              <w:t>0.3-23.7</w:t>
            </w:r>
          </w:p>
        </w:tc>
        <w:tc>
          <w:tcPr>
            <w:tcW w:w="1170" w:type="dxa"/>
            <w:tcBorders>
              <w:right w:val="nil"/>
            </w:tcBorders>
          </w:tcPr>
          <w:p w14:paraId="55D8AD85" w14:textId="77777777" w:rsidR="00487B6E" w:rsidRPr="00593B18" w:rsidRDefault="00487B6E" w:rsidP="0067138B">
            <w:pPr>
              <w:spacing w:line="240" w:lineRule="auto"/>
              <w:rPr>
                <w:bCs/>
              </w:rPr>
            </w:pPr>
            <w:r w:rsidRPr="00593B18">
              <w:rPr>
                <w:bCs/>
              </w:rPr>
              <w:t>0.1–6.5</w:t>
            </w:r>
          </w:p>
        </w:tc>
      </w:tr>
      <w:tr w:rsidR="00487B6E" w:rsidRPr="003B1D2D" w14:paraId="1358DA00" w14:textId="77777777" w:rsidTr="0067138B">
        <w:tc>
          <w:tcPr>
            <w:tcW w:w="1435" w:type="dxa"/>
            <w:tcBorders>
              <w:left w:val="nil"/>
            </w:tcBorders>
          </w:tcPr>
          <w:p w14:paraId="46EE7CE8" w14:textId="77777777" w:rsidR="00487B6E" w:rsidRPr="00593B18" w:rsidRDefault="00487B6E" w:rsidP="0067138B">
            <w:pPr>
              <w:spacing w:line="240" w:lineRule="auto"/>
              <w:rPr>
                <w:i/>
                <w:iCs/>
              </w:rPr>
            </w:pPr>
            <w:r w:rsidRPr="00593B18">
              <w:rPr>
                <w:i/>
                <w:iCs/>
              </w:rPr>
              <w:t>Populus balsamifera</w:t>
            </w:r>
          </w:p>
        </w:tc>
        <w:tc>
          <w:tcPr>
            <w:tcW w:w="1260" w:type="dxa"/>
          </w:tcPr>
          <w:p w14:paraId="463ABB81" w14:textId="77777777" w:rsidR="00487B6E" w:rsidRPr="00593B18" w:rsidRDefault="00487B6E" w:rsidP="0067138B">
            <w:pPr>
              <w:spacing w:line="240" w:lineRule="auto"/>
              <w:rPr>
                <w:bCs/>
              </w:rPr>
            </w:pPr>
            <w:r w:rsidRPr="00593B18">
              <w:rPr>
                <w:bCs/>
              </w:rPr>
              <w:t>Byrd 2013</w:t>
            </w:r>
          </w:p>
        </w:tc>
        <w:tc>
          <w:tcPr>
            <w:tcW w:w="2970" w:type="dxa"/>
            <w:gridSpan w:val="2"/>
          </w:tcPr>
          <w:p w14:paraId="56381AEE" w14:textId="77777777" w:rsidR="00487B6E" w:rsidRPr="00593B18" w:rsidRDefault="00487B6E" w:rsidP="0067138B">
            <w:pPr>
              <w:spacing w:line="240" w:lineRule="auto"/>
              <w:rPr>
                <w:bCs/>
                <w:vertAlign w:val="superscript"/>
              </w:rPr>
            </w:pPr>
            <w:r>
              <w:rPr>
                <w:bCs/>
              </w:rPr>
              <w:t>Y</w:t>
            </w:r>
            <w:r w:rsidRPr="00593B18">
              <w:rPr>
                <w:bCs/>
              </w:rPr>
              <w:t xml:space="preserve"> = 0.261e</w:t>
            </w:r>
            <w:r w:rsidRPr="00593B18">
              <w:rPr>
                <w:bCs/>
                <w:vertAlign w:val="superscript"/>
              </w:rPr>
              <w:t>0.0591*DBH</w:t>
            </w:r>
          </w:p>
        </w:tc>
        <w:tc>
          <w:tcPr>
            <w:tcW w:w="810" w:type="dxa"/>
          </w:tcPr>
          <w:p w14:paraId="416DF8D9" w14:textId="77777777" w:rsidR="00487B6E" w:rsidRPr="00593B18" w:rsidRDefault="00487B6E" w:rsidP="0067138B">
            <w:pPr>
              <w:spacing w:line="240" w:lineRule="auto"/>
              <w:rPr>
                <w:bCs/>
              </w:rPr>
            </w:pPr>
            <w:r w:rsidRPr="00593B18">
              <w:rPr>
                <w:bCs/>
              </w:rPr>
              <w:t>0.86</w:t>
            </w:r>
          </w:p>
        </w:tc>
        <w:tc>
          <w:tcPr>
            <w:tcW w:w="1350" w:type="dxa"/>
          </w:tcPr>
          <w:p w14:paraId="32F07540" w14:textId="77777777" w:rsidR="00487B6E" w:rsidRPr="00593B18" w:rsidRDefault="00487B6E" w:rsidP="0067138B">
            <w:pPr>
              <w:spacing w:line="240" w:lineRule="auto"/>
              <w:rPr>
                <w:bCs/>
              </w:rPr>
            </w:pPr>
            <w:r w:rsidRPr="00593B18">
              <w:rPr>
                <w:bCs/>
              </w:rPr>
              <w:t xml:space="preserve">AV 2.77 </w:t>
            </w:r>
          </w:p>
        </w:tc>
        <w:tc>
          <w:tcPr>
            <w:tcW w:w="1170" w:type="dxa"/>
            <w:tcBorders>
              <w:right w:val="nil"/>
            </w:tcBorders>
          </w:tcPr>
          <w:p w14:paraId="4DCED89D" w14:textId="77777777" w:rsidR="00487B6E" w:rsidRPr="00593B18" w:rsidRDefault="00487B6E" w:rsidP="0067138B">
            <w:pPr>
              <w:spacing w:line="240" w:lineRule="auto"/>
              <w:rPr>
                <w:bCs/>
              </w:rPr>
            </w:pPr>
            <w:r w:rsidRPr="00593B18">
              <w:rPr>
                <w:bCs/>
              </w:rPr>
              <w:t>1.3–2.3</w:t>
            </w:r>
          </w:p>
        </w:tc>
      </w:tr>
      <w:tr w:rsidR="00487B6E" w:rsidRPr="003B1D2D" w14:paraId="111239A1" w14:textId="77777777" w:rsidTr="0067138B">
        <w:tc>
          <w:tcPr>
            <w:tcW w:w="1435" w:type="dxa"/>
            <w:tcBorders>
              <w:left w:val="nil"/>
            </w:tcBorders>
          </w:tcPr>
          <w:p w14:paraId="52AFF91B" w14:textId="77777777" w:rsidR="00487B6E" w:rsidRPr="00593B18" w:rsidRDefault="00487B6E" w:rsidP="0067138B">
            <w:pPr>
              <w:spacing w:line="240" w:lineRule="auto"/>
              <w:rPr>
                <w:i/>
                <w:iCs/>
              </w:rPr>
            </w:pPr>
            <w:r w:rsidRPr="00593B18">
              <w:rPr>
                <w:i/>
                <w:iCs/>
              </w:rPr>
              <w:t>Betula neoalaskana</w:t>
            </w:r>
          </w:p>
        </w:tc>
        <w:tc>
          <w:tcPr>
            <w:tcW w:w="1260" w:type="dxa"/>
          </w:tcPr>
          <w:p w14:paraId="43F4691C" w14:textId="77777777"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14:paraId="12712B05" w14:textId="77777777"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2.462 + 1.095*(log</w:t>
            </w:r>
            <w:r w:rsidRPr="00593B18">
              <w:rPr>
                <w:bCs/>
                <w:vertAlign w:val="subscript"/>
              </w:rPr>
              <w:t>10</w:t>
            </w:r>
            <w:r w:rsidRPr="00593B18">
              <w:rPr>
                <w:bCs/>
              </w:rPr>
              <w:t xml:space="preserve">DBH) </w:t>
            </w:r>
          </w:p>
        </w:tc>
        <w:tc>
          <w:tcPr>
            <w:tcW w:w="810" w:type="dxa"/>
          </w:tcPr>
          <w:p w14:paraId="1A8C1C1C" w14:textId="77777777" w:rsidR="00487B6E" w:rsidRPr="00593B18" w:rsidRDefault="00487B6E" w:rsidP="0067138B">
            <w:pPr>
              <w:spacing w:line="240" w:lineRule="auto"/>
              <w:rPr>
                <w:bCs/>
              </w:rPr>
            </w:pPr>
            <w:r w:rsidRPr="00593B18">
              <w:rPr>
                <w:bCs/>
              </w:rPr>
              <w:t>0.66</w:t>
            </w:r>
          </w:p>
        </w:tc>
        <w:tc>
          <w:tcPr>
            <w:tcW w:w="1350" w:type="dxa"/>
          </w:tcPr>
          <w:p w14:paraId="0C1F27FB" w14:textId="77777777" w:rsidR="00487B6E" w:rsidRPr="00593B18" w:rsidRDefault="00487B6E" w:rsidP="0067138B">
            <w:pPr>
              <w:spacing w:line="240" w:lineRule="auto"/>
              <w:rPr>
                <w:bCs/>
              </w:rPr>
            </w:pPr>
            <w:r w:rsidRPr="00593B18">
              <w:rPr>
                <w:bCs/>
              </w:rPr>
              <w:t>0.3-0.7</w:t>
            </w:r>
          </w:p>
        </w:tc>
        <w:tc>
          <w:tcPr>
            <w:tcW w:w="1170" w:type="dxa"/>
            <w:tcBorders>
              <w:right w:val="nil"/>
            </w:tcBorders>
          </w:tcPr>
          <w:p w14:paraId="224D7871" w14:textId="77777777" w:rsidR="00487B6E" w:rsidRPr="00593B18" w:rsidRDefault="00487B6E" w:rsidP="0067138B">
            <w:pPr>
              <w:spacing w:line="240" w:lineRule="auto"/>
              <w:rPr>
                <w:bCs/>
              </w:rPr>
            </w:pPr>
            <w:r w:rsidRPr="00593B18">
              <w:rPr>
                <w:bCs/>
              </w:rPr>
              <w:t>0.1–23.5</w:t>
            </w:r>
          </w:p>
        </w:tc>
      </w:tr>
      <w:tr w:rsidR="00487B6E" w:rsidRPr="003B1D2D" w14:paraId="32C6B6A7" w14:textId="77777777" w:rsidTr="0067138B">
        <w:tc>
          <w:tcPr>
            <w:tcW w:w="1435" w:type="dxa"/>
            <w:tcBorders>
              <w:left w:val="nil"/>
            </w:tcBorders>
          </w:tcPr>
          <w:p w14:paraId="0339A045" w14:textId="77777777" w:rsidR="00487B6E" w:rsidRPr="00593B18" w:rsidRDefault="00487B6E" w:rsidP="0067138B">
            <w:pPr>
              <w:spacing w:line="240" w:lineRule="auto"/>
              <w:rPr>
                <w:i/>
                <w:iCs/>
              </w:rPr>
            </w:pPr>
            <w:r w:rsidRPr="00593B18">
              <w:rPr>
                <w:i/>
                <w:iCs/>
              </w:rPr>
              <w:t>Picea Mariana</w:t>
            </w:r>
          </w:p>
        </w:tc>
        <w:tc>
          <w:tcPr>
            <w:tcW w:w="1260" w:type="dxa"/>
          </w:tcPr>
          <w:p w14:paraId="54C6352E" w14:textId="77777777"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14:paraId="52F315CE" w14:textId="77777777"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3.011 + 1.202*(log</w:t>
            </w:r>
            <w:r w:rsidRPr="00593B18">
              <w:rPr>
                <w:bCs/>
                <w:vertAlign w:val="subscript"/>
              </w:rPr>
              <w:t>10</w:t>
            </w:r>
            <w:r w:rsidRPr="00593B18">
              <w:rPr>
                <w:bCs/>
              </w:rPr>
              <w:t>DBH) + -.01(AGE) + 0.972(Log</w:t>
            </w:r>
            <w:r w:rsidRPr="00593B18">
              <w:rPr>
                <w:bCs/>
                <w:vertAlign w:val="subscript"/>
              </w:rPr>
              <w:t>10</w:t>
            </w:r>
            <w:r w:rsidRPr="00593B18">
              <w:rPr>
                <w:bCs/>
              </w:rPr>
              <w:t>DBH*AGE)</w:t>
            </w:r>
          </w:p>
        </w:tc>
        <w:tc>
          <w:tcPr>
            <w:tcW w:w="810" w:type="dxa"/>
          </w:tcPr>
          <w:p w14:paraId="5298667D" w14:textId="77777777" w:rsidR="00487B6E" w:rsidRPr="00593B18" w:rsidRDefault="00487B6E" w:rsidP="0067138B">
            <w:pPr>
              <w:spacing w:line="240" w:lineRule="auto"/>
              <w:rPr>
                <w:bCs/>
              </w:rPr>
            </w:pPr>
            <w:r w:rsidRPr="00593B18">
              <w:rPr>
                <w:bCs/>
              </w:rPr>
              <w:t>0.97</w:t>
            </w:r>
          </w:p>
        </w:tc>
        <w:tc>
          <w:tcPr>
            <w:tcW w:w="1350" w:type="dxa"/>
          </w:tcPr>
          <w:p w14:paraId="3BA09D68" w14:textId="77777777" w:rsidR="00487B6E" w:rsidRPr="00593B18" w:rsidRDefault="00487B6E" w:rsidP="0067138B">
            <w:pPr>
              <w:spacing w:line="240" w:lineRule="auto"/>
              <w:rPr>
                <w:bCs/>
              </w:rPr>
            </w:pPr>
            <w:r w:rsidRPr="00593B18">
              <w:rPr>
                <w:bCs/>
              </w:rPr>
              <w:t>0.5-17</w:t>
            </w:r>
          </w:p>
        </w:tc>
        <w:tc>
          <w:tcPr>
            <w:tcW w:w="1170" w:type="dxa"/>
            <w:tcBorders>
              <w:right w:val="nil"/>
            </w:tcBorders>
          </w:tcPr>
          <w:p w14:paraId="1BC36A03" w14:textId="77777777" w:rsidR="00487B6E" w:rsidRPr="00593B18" w:rsidRDefault="00487B6E" w:rsidP="0067138B">
            <w:pPr>
              <w:spacing w:line="240" w:lineRule="auto"/>
              <w:rPr>
                <w:bCs/>
              </w:rPr>
            </w:pPr>
            <w:r w:rsidRPr="00593B18">
              <w:rPr>
                <w:bCs/>
              </w:rPr>
              <w:t>0.1-20</w:t>
            </w:r>
          </w:p>
        </w:tc>
      </w:tr>
      <w:tr w:rsidR="00487B6E" w:rsidRPr="003B1D2D" w14:paraId="7343BDD7" w14:textId="77777777" w:rsidTr="0067138B">
        <w:tc>
          <w:tcPr>
            <w:tcW w:w="1435" w:type="dxa"/>
            <w:tcBorders>
              <w:left w:val="nil"/>
            </w:tcBorders>
          </w:tcPr>
          <w:p w14:paraId="0C59FC0A" w14:textId="77777777" w:rsidR="00487B6E" w:rsidRPr="00593B18" w:rsidRDefault="00487B6E" w:rsidP="0067138B">
            <w:pPr>
              <w:spacing w:line="240" w:lineRule="auto"/>
              <w:rPr>
                <w:i/>
                <w:iCs/>
              </w:rPr>
            </w:pPr>
            <w:r w:rsidRPr="00593B18">
              <w:rPr>
                <w:i/>
                <w:iCs/>
              </w:rPr>
              <w:t>Salix</w:t>
            </w:r>
          </w:p>
        </w:tc>
        <w:tc>
          <w:tcPr>
            <w:tcW w:w="1260" w:type="dxa"/>
          </w:tcPr>
          <w:p w14:paraId="7326B72A" w14:textId="77777777"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14:paraId="2F4DB48E" w14:textId="77777777"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2.481 + 1.19(log</w:t>
            </w:r>
            <w:r w:rsidRPr="00593B18">
              <w:rPr>
                <w:bCs/>
                <w:vertAlign w:val="subscript"/>
              </w:rPr>
              <w:t>10</w:t>
            </w:r>
            <w:r w:rsidRPr="00593B18">
              <w:rPr>
                <w:bCs/>
              </w:rPr>
              <w:t>DBH)</w:t>
            </w:r>
          </w:p>
        </w:tc>
        <w:tc>
          <w:tcPr>
            <w:tcW w:w="810" w:type="dxa"/>
          </w:tcPr>
          <w:p w14:paraId="53146D72" w14:textId="77777777" w:rsidR="00487B6E" w:rsidRPr="00593B18" w:rsidRDefault="00487B6E" w:rsidP="0067138B">
            <w:pPr>
              <w:spacing w:line="240" w:lineRule="auto"/>
              <w:rPr>
                <w:bCs/>
              </w:rPr>
            </w:pPr>
            <w:r w:rsidRPr="00593B18">
              <w:rPr>
                <w:bCs/>
              </w:rPr>
              <w:t>0.54</w:t>
            </w:r>
          </w:p>
        </w:tc>
        <w:tc>
          <w:tcPr>
            <w:tcW w:w="1350" w:type="dxa"/>
          </w:tcPr>
          <w:p w14:paraId="51B7A1A7" w14:textId="77777777" w:rsidR="00487B6E" w:rsidRPr="00593B18" w:rsidRDefault="00487B6E" w:rsidP="0067138B">
            <w:pPr>
              <w:spacing w:line="240" w:lineRule="auto"/>
              <w:rPr>
                <w:bCs/>
              </w:rPr>
            </w:pPr>
            <w:r w:rsidRPr="00593B18">
              <w:rPr>
                <w:bCs/>
              </w:rPr>
              <w:t>0.3-1</w:t>
            </w:r>
          </w:p>
        </w:tc>
        <w:tc>
          <w:tcPr>
            <w:tcW w:w="1170" w:type="dxa"/>
            <w:tcBorders>
              <w:right w:val="nil"/>
            </w:tcBorders>
          </w:tcPr>
          <w:p w14:paraId="0CC16B72" w14:textId="77777777" w:rsidR="00487B6E" w:rsidRPr="00593B18" w:rsidRDefault="00487B6E" w:rsidP="0067138B">
            <w:pPr>
              <w:spacing w:line="240" w:lineRule="auto"/>
              <w:rPr>
                <w:bCs/>
              </w:rPr>
            </w:pPr>
            <w:r w:rsidRPr="00593B18">
              <w:rPr>
                <w:bCs/>
              </w:rPr>
              <w:t>0.1–8.1</w:t>
            </w:r>
          </w:p>
        </w:tc>
      </w:tr>
      <w:tr w:rsidR="00487B6E" w:rsidRPr="003B1D2D" w14:paraId="58EB7DBB" w14:textId="77777777" w:rsidTr="0067138B">
        <w:tc>
          <w:tcPr>
            <w:tcW w:w="1435" w:type="dxa"/>
            <w:vMerge w:val="restart"/>
            <w:tcBorders>
              <w:left w:val="nil"/>
            </w:tcBorders>
          </w:tcPr>
          <w:p w14:paraId="08D6E19C" w14:textId="77777777" w:rsidR="00487B6E" w:rsidRPr="00593B18" w:rsidRDefault="00487B6E" w:rsidP="0067138B">
            <w:pPr>
              <w:spacing w:line="240" w:lineRule="auto"/>
              <w:rPr>
                <w:i/>
                <w:iCs/>
              </w:rPr>
            </w:pPr>
            <w:r w:rsidRPr="00593B18">
              <w:rPr>
                <w:i/>
                <w:iCs/>
              </w:rPr>
              <w:t>Alnus</w:t>
            </w:r>
          </w:p>
        </w:tc>
        <w:tc>
          <w:tcPr>
            <w:tcW w:w="1260" w:type="dxa"/>
            <w:vMerge w:val="restart"/>
          </w:tcPr>
          <w:p w14:paraId="3699E4EE" w14:textId="77777777" w:rsidR="00487B6E" w:rsidRPr="00593B18" w:rsidRDefault="00487B6E" w:rsidP="0067138B">
            <w:pPr>
              <w:spacing w:line="240" w:lineRule="auto"/>
              <w:rPr>
                <w:bCs/>
              </w:rPr>
            </w:pPr>
            <w:r w:rsidRPr="00593B18">
              <w:rPr>
                <w:bCs/>
              </w:rPr>
              <w:t>Binkley et al. 1984</w:t>
            </w:r>
          </w:p>
        </w:tc>
        <w:tc>
          <w:tcPr>
            <w:tcW w:w="995" w:type="dxa"/>
          </w:tcPr>
          <w:p w14:paraId="48F04E56" w14:textId="77777777" w:rsidR="00487B6E" w:rsidRPr="00593B18" w:rsidRDefault="00487B6E" w:rsidP="0067138B">
            <w:pPr>
              <w:spacing w:line="240" w:lineRule="auto"/>
              <w:rPr>
                <w:bCs/>
              </w:rPr>
            </w:pPr>
            <w:r>
              <w:rPr>
                <w:bCs/>
              </w:rPr>
              <w:t>Leaves</w:t>
            </w:r>
          </w:p>
        </w:tc>
        <w:tc>
          <w:tcPr>
            <w:tcW w:w="1975" w:type="dxa"/>
          </w:tcPr>
          <w:p w14:paraId="45FA04D8" w14:textId="77777777" w:rsidR="00487B6E" w:rsidRPr="00D02225" w:rsidRDefault="00487B6E" w:rsidP="0067138B">
            <w:pPr>
              <w:spacing w:line="240" w:lineRule="auto"/>
            </w:pPr>
            <w:proofErr w:type="spellStart"/>
            <w:r>
              <w:t>Log</w:t>
            </w:r>
            <w:r w:rsidRPr="00D02225">
              <w:rPr>
                <w:vertAlign w:val="subscript"/>
              </w:rPr>
              <w:t>e</w:t>
            </w:r>
            <w:r>
              <w:t>Y</w:t>
            </w:r>
            <w:proofErr w:type="spellEnd"/>
            <w:r>
              <w:t xml:space="preserve"> = 1.82 + 2.38(</w:t>
            </w:r>
            <w:proofErr w:type="spellStart"/>
            <w:r>
              <w:t>Log</w:t>
            </w:r>
            <w:r w:rsidRPr="00D02225">
              <w:rPr>
                <w:vertAlign w:val="subscript"/>
              </w:rPr>
              <w:t>e</w:t>
            </w:r>
            <w:r>
              <w:t>DBH</w:t>
            </w:r>
            <w:proofErr w:type="spellEnd"/>
            <w:r>
              <w:t>)</w:t>
            </w:r>
          </w:p>
        </w:tc>
        <w:tc>
          <w:tcPr>
            <w:tcW w:w="810" w:type="dxa"/>
          </w:tcPr>
          <w:p w14:paraId="2398B6E0" w14:textId="77777777" w:rsidR="00487B6E" w:rsidRPr="00593B18" w:rsidRDefault="00487B6E" w:rsidP="0067138B">
            <w:pPr>
              <w:spacing w:line="240" w:lineRule="auto"/>
              <w:rPr>
                <w:bCs/>
              </w:rPr>
            </w:pPr>
            <w:r w:rsidRPr="00593B18">
              <w:rPr>
                <w:bCs/>
              </w:rPr>
              <w:t>0.88</w:t>
            </w:r>
          </w:p>
        </w:tc>
        <w:tc>
          <w:tcPr>
            <w:tcW w:w="1350" w:type="dxa"/>
          </w:tcPr>
          <w:p w14:paraId="34AC7223" w14:textId="77777777" w:rsidR="00487B6E" w:rsidRPr="00593B18" w:rsidRDefault="00487B6E" w:rsidP="0067138B">
            <w:pPr>
              <w:spacing w:line="240" w:lineRule="auto"/>
              <w:rPr>
                <w:bCs/>
              </w:rPr>
            </w:pPr>
            <w:r>
              <w:rPr>
                <w:bCs/>
              </w:rPr>
              <w:t>2-7</w:t>
            </w:r>
          </w:p>
        </w:tc>
        <w:tc>
          <w:tcPr>
            <w:tcW w:w="1170" w:type="dxa"/>
            <w:tcBorders>
              <w:right w:val="nil"/>
            </w:tcBorders>
          </w:tcPr>
          <w:p w14:paraId="56A37C7C" w14:textId="77777777" w:rsidR="00487B6E" w:rsidRPr="00593B18" w:rsidRDefault="00487B6E" w:rsidP="0067138B">
            <w:pPr>
              <w:spacing w:line="240" w:lineRule="auto"/>
              <w:rPr>
                <w:bCs/>
              </w:rPr>
            </w:pPr>
            <w:r w:rsidRPr="00593B18">
              <w:rPr>
                <w:bCs/>
              </w:rPr>
              <w:t>0.2–4.5</w:t>
            </w:r>
          </w:p>
        </w:tc>
      </w:tr>
      <w:tr w:rsidR="00487B6E" w:rsidRPr="003B1D2D" w14:paraId="60D401B4" w14:textId="77777777" w:rsidTr="0067138B">
        <w:tc>
          <w:tcPr>
            <w:tcW w:w="1435" w:type="dxa"/>
            <w:vMerge/>
            <w:tcBorders>
              <w:left w:val="nil"/>
              <w:bottom w:val="nil"/>
            </w:tcBorders>
          </w:tcPr>
          <w:p w14:paraId="5D436339" w14:textId="77777777" w:rsidR="00487B6E" w:rsidRPr="00593B18" w:rsidRDefault="00487B6E" w:rsidP="0067138B">
            <w:pPr>
              <w:pStyle w:val="Heading2"/>
            </w:pPr>
          </w:p>
        </w:tc>
        <w:tc>
          <w:tcPr>
            <w:tcW w:w="1260" w:type="dxa"/>
            <w:vMerge/>
            <w:tcBorders>
              <w:bottom w:val="nil"/>
            </w:tcBorders>
          </w:tcPr>
          <w:p w14:paraId="7D4257F2" w14:textId="77777777" w:rsidR="00487B6E" w:rsidRPr="00593B18" w:rsidRDefault="00487B6E" w:rsidP="0067138B">
            <w:pPr>
              <w:spacing w:line="240" w:lineRule="auto"/>
              <w:rPr>
                <w:bCs/>
              </w:rPr>
            </w:pPr>
          </w:p>
        </w:tc>
        <w:tc>
          <w:tcPr>
            <w:tcW w:w="995" w:type="dxa"/>
            <w:tcBorders>
              <w:bottom w:val="nil"/>
            </w:tcBorders>
          </w:tcPr>
          <w:p w14:paraId="7534E1BC" w14:textId="77777777" w:rsidR="00487B6E" w:rsidRPr="00593B18" w:rsidRDefault="00487B6E" w:rsidP="0067138B">
            <w:pPr>
              <w:spacing w:line="240" w:lineRule="auto"/>
              <w:rPr>
                <w:bCs/>
              </w:rPr>
            </w:pPr>
            <w:r w:rsidRPr="00593B18">
              <w:rPr>
                <w:bCs/>
              </w:rPr>
              <w:t>S</w:t>
            </w:r>
            <w:r>
              <w:rPr>
                <w:bCs/>
              </w:rPr>
              <w:t>tem</w:t>
            </w:r>
          </w:p>
        </w:tc>
        <w:tc>
          <w:tcPr>
            <w:tcW w:w="1975" w:type="dxa"/>
            <w:tcBorders>
              <w:bottom w:val="nil"/>
            </w:tcBorders>
          </w:tcPr>
          <w:p w14:paraId="08C4EF0C" w14:textId="77777777" w:rsidR="00487B6E" w:rsidRPr="00593B18" w:rsidRDefault="00487B6E" w:rsidP="0067138B">
            <w:pPr>
              <w:spacing w:line="240" w:lineRule="auto"/>
              <w:rPr>
                <w:bCs/>
              </w:rPr>
            </w:pPr>
            <w:proofErr w:type="spellStart"/>
            <w:r>
              <w:rPr>
                <w:bCs/>
              </w:rPr>
              <w:t>Log</w:t>
            </w:r>
            <w:r w:rsidRPr="00D02225">
              <w:rPr>
                <w:bCs/>
                <w:vertAlign w:val="subscript"/>
              </w:rPr>
              <w:t>e</w:t>
            </w:r>
            <w:r>
              <w:rPr>
                <w:bCs/>
              </w:rPr>
              <w:t>Y</w:t>
            </w:r>
            <w:proofErr w:type="spellEnd"/>
            <w:r>
              <w:rPr>
                <w:bCs/>
              </w:rPr>
              <w:t xml:space="preserve"> = 4.5 + 2.3(</w:t>
            </w:r>
            <w:proofErr w:type="spellStart"/>
            <w:r>
              <w:rPr>
                <w:bCs/>
              </w:rPr>
              <w:t>Log</w:t>
            </w:r>
            <w:r w:rsidRPr="00D02225">
              <w:rPr>
                <w:bCs/>
                <w:vertAlign w:val="subscript"/>
              </w:rPr>
              <w:t>e</w:t>
            </w:r>
            <w:r>
              <w:rPr>
                <w:bCs/>
              </w:rPr>
              <w:t>DBH</w:t>
            </w:r>
            <w:proofErr w:type="spellEnd"/>
            <w:r>
              <w:rPr>
                <w:bCs/>
              </w:rPr>
              <w:t>)</w:t>
            </w:r>
          </w:p>
        </w:tc>
        <w:tc>
          <w:tcPr>
            <w:tcW w:w="810" w:type="dxa"/>
            <w:tcBorders>
              <w:bottom w:val="nil"/>
            </w:tcBorders>
          </w:tcPr>
          <w:p w14:paraId="06135BAE" w14:textId="77777777" w:rsidR="00487B6E" w:rsidRPr="00593B18" w:rsidRDefault="00487B6E" w:rsidP="0067138B">
            <w:pPr>
              <w:spacing w:line="240" w:lineRule="auto"/>
              <w:rPr>
                <w:bCs/>
              </w:rPr>
            </w:pPr>
            <w:r w:rsidRPr="00593B18">
              <w:rPr>
                <w:bCs/>
              </w:rPr>
              <w:t>0.88</w:t>
            </w:r>
          </w:p>
        </w:tc>
        <w:tc>
          <w:tcPr>
            <w:tcW w:w="1350" w:type="dxa"/>
            <w:tcBorders>
              <w:bottom w:val="nil"/>
            </w:tcBorders>
          </w:tcPr>
          <w:p w14:paraId="2FB0DE28" w14:textId="77777777" w:rsidR="00487B6E" w:rsidRPr="00593B18" w:rsidRDefault="00487B6E" w:rsidP="0067138B">
            <w:pPr>
              <w:spacing w:line="240" w:lineRule="auto"/>
              <w:rPr>
                <w:bCs/>
              </w:rPr>
            </w:pPr>
            <w:r>
              <w:rPr>
                <w:bCs/>
              </w:rPr>
              <w:t>2-7</w:t>
            </w:r>
          </w:p>
        </w:tc>
        <w:tc>
          <w:tcPr>
            <w:tcW w:w="1170" w:type="dxa"/>
            <w:tcBorders>
              <w:bottom w:val="nil"/>
              <w:right w:val="nil"/>
            </w:tcBorders>
          </w:tcPr>
          <w:p w14:paraId="2F4763FF" w14:textId="77777777" w:rsidR="00487B6E" w:rsidRPr="00593B18" w:rsidRDefault="00487B6E" w:rsidP="0067138B">
            <w:pPr>
              <w:spacing w:line="240" w:lineRule="auto"/>
              <w:rPr>
                <w:bCs/>
              </w:rPr>
            </w:pPr>
            <w:r>
              <w:rPr>
                <w:bCs/>
              </w:rPr>
              <w:t>0.2-4.5</w:t>
            </w:r>
          </w:p>
        </w:tc>
      </w:tr>
    </w:tbl>
    <w:p w14:paraId="40524EF3" w14:textId="77777777" w:rsidR="00487B6E" w:rsidRDefault="00487B6E" w:rsidP="00CE651E">
      <w:pPr>
        <w:pStyle w:val="Heading3"/>
      </w:pPr>
    </w:p>
    <w:p w14:paraId="30ABA415" w14:textId="77777777" w:rsidR="00487B6E" w:rsidRPr="001F473C" w:rsidRDefault="00487B6E" w:rsidP="00CE651E">
      <w:pPr>
        <w:pStyle w:val="Heading3"/>
      </w:pPr>
      <w:r w:rsidRPr="001F473C">
        <w:t>Tree Height</w:t>
      </w:r>
    </w:p>
    <w:p w14:paraId="43C2915F" w14:textId="77777777" w:rsidR="00487B6E" w:rsidRPr="001F473C" w:rsidRDefault="00487B6E" w:rsidP="00487B6E">
      <w:pPr>
        <w:spacing w:line="240" w:lineRule="auto"/>
        <w:rPr>
          <w:rFonts w:cs="Times New Roman"/>
          <w:bCs/>
        </w:rPr>
      </w:pPr>
      <w:r w:rsidRPr="001F473C">
        <w:rPr>
          <w:rFonts w:cs="Times New Roman"/>
          <w:bCs/>
        </w:rPr>
        <w:t xml:space="preserve">Our observations of tree heights informed the upward space of the model. Given the age of reburned stands (15 years on average), tree height was much shorter in reburned plots than in mature stands, which contained birch and black spruce individuals, reaching a maximum height of 17 m (Fig. S1). Based on these observations, we set the domain of the modeled landscape to a maximum height of 20 m. </w:t>
      </w:r>
    </w:p>
    <w:p w14:paraId="1A4FB7E4" w14:textId="77777777" w:rsidR="00487B6E" w:rsidRPr="001F473C" w:rsidRDefault="00487B6E" w:rsidP="00487B6E">
      <w:pPr>
        <w:suppressLineNumbers/>
        <w:rPr>
          <w:rFonts w:cs="Times New Roman"/>
          <w:b/>
        </w:rPr>
      </w:pPr>
      <w:r w:rsidRPr="001F473C">
        <w:rPr>
          <w:rFonts w:cs="Times New Roman"/>
          <w:b/>
          <w:noProof/>
        </w:rPr>
        <w:lastRenderedPageBreak/>
        <w:drawing>
          <wp:inline distT="0" distB="0" distL="0" distR="0" wp14:anchorId="3E98BCC3" wp14:editId="048E4FEC">
            <wp:extent cx="5724939" cy="3271394"/>
            <wp:effectExtent l="0" t="0" r="3175" b="571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5936" cy="3277678"/>
                    </a:xfrm>
                    <a:prstGeom prst="rect">
                      <a:avLst/>
                    </a:prstGeom>
                  </pic:spPr>
                </pic:pic>
              </a:graphicData>
            </a:graphic>
          </wp:inline>
        </w:drawing>
      </w:r>
    </w:p>
    <w:p w14:paraId="7F4E5927" w14:textId="188D4DE5" w:rsidR="00487B6E" w:rsidRDefault="00487B6E" w:rsidP="00487B6E">
      <w:pPr>
        <w:rPr>
          <w:ins w:id="0" w:author="Katherine Hayes" w:date="2024-08-13T13:18:00Z"/>
          <w:rFonts w:cs="Times New Roman"/>
        </w:rPr>
      </w:pPr>
      <w:r w:rsidRPr="001F473C">
        <w:rPr>
          <w:rFonts w:cs="Times New Roman"/>
          <w:b/>
        </w:rPr>
        <w:t xml:space="preserve">Figure S1. </w:t>
      </w:r>
      <w:r w:rsidRPr="001F473C">
        <w:rPr>
          <w:rFonts w:cs="Times New Roman"/>
          <w:bCs/>
        </w:rPr>
        <w:t>Heights in meters of tree species across reburn history. Dots represent outliers</w:t>
      </w:r>
      <w:ins w:id="1" w:author="Katherine Hayes" w:date="2024-03-26T11:22:00Z">
        <w:r w:rsidR="00D135C9">
          <w:rPr>
            <w:rFonts w:cs="Times New Roman"/>
            <w:bCs/>
          </w:rPr>
          <w:t xml:space="preserve"> (defined as 1.5 the interquartile range less than the first quartile and greater than the third)</w:t>
        </w:r>
        <w:r w:rsidR="00D135C9" w:rsidRPr="001F473C">
          <w:rPr>
            <w:rFonts w:cs="Times New Roman"/>
            <w:bCs/>
          </w:rPr>
          <w:t>.</w:t>
        </w:r>
      </w:ins>
      <w:r w:rsidRPr="001F473C">
        <w:rPr>
          <w:rFonts w:cs="Times New Roman"/>
          <w:bCs/>
        </w:rPr>
        <w:t xml:space="preserve"> </w:t>
      </w:r>
      <w:r w:rsidRPr="001F473C">
        <w:rPr>
          <w:rFonts w:cs="Times New Roman"/>
        </w:rPr>
        <w:t xml:space="preserve"> </w:t>
      </w:r>
    </w:p>
    <w:p w14:paraId="3D18EBF2" w14:textId="77777777" w:rsidR="002756F9" w:rsidRDefault="002756F9" w:rsidP="00487B6E">
      <w:pPr>
        <w:rPr>
          <w:ins w:id="2" w:author="Katherine Hayes" w:date="2024-08-13T13:19:00Z"/>
          <w:rFonts w:cs="Times New Roman"/>
          <w:bCs/>
        </w:rPr>
      </w:pPr>
    </w:p>
    <w:p w14:paraId="5E5DFC25" w14:textId="2D7BB4FE" w:rsidR="002756F9" w:rsidRPr="002756F9" w:rsidRDefault="002756F9" w:rsidP="00487B6E">
      <w:pPr>
        <w:rPr>
          <w:rFonts w:cs="Times New Roman"/>
          <w:bCs/>
          <w:i/>
          <w:iCs/>
          <w:rPrChange w:id="3" w:author="Katherine Hayes" w:date="2024-08-13T13:19:00Z">
            <w:rPr>
              <w:rFonts w:cs="Times New Roman"/>
              <w:bCs/>
            </w:rPr>
          </w:rPrChange>
        </w:rPr>
      </w:pPr>
      <w:ins w:id="4" w:author="Katherine Hayes" w:date="2024-08-13T13:19:00Z">
        <w:r w:rsidRPr="002756F9">
          <w:rPr>
            <w:rFonts w:cs="Times New Roman"/>
            <w:bCs/>
            <w:i/>
            <w:iCs/>
            <w:rPrChange w:id="5" w:author="Katherine Hayes" w:date="2024-08-13T13:19:00Z">
              <w:rPr>
                <w:rFonts w:cs="Times New Roman"/>
                <w:bCs/>
              </w:rPr>
            </w:rPrChange>
          </w:rPr>
          <w:t>Surface fuels</w:t>
        </w:r>
      </w:ins>
    </w:p>
    <w:p w14:paraId="6771071A" w14:textId="77777777" w:rsidR="002756F9" w:rsidRPr="001F473C" w:rsidRDefault="002756F9" w:rsidP="002756F9">
      <w:pPr>
        <w:suppressLineNumbers/>
        <w:spacing w:line="240" w:lineRule="auto"/>
        <w:rPr>
          <w:ins w:id="6" w:author="Katherine Hayes" w:date="2024-08-13T13:18:00Z"/>
          <w:rFonts w:cs="Times New Roman"/>
        </w:rPr>
      </w:pPr>
      <w:ins w:id="7" w:author="Katherine Hayes" w:date="2024-08-13T13:18:00Z">
        <w:r w:rsidRPr="001F473C">
          <w:rPr>
            <w:rFonts w:cs="Times New Roman"/>
            <w:noProof/>
          </w:rPr>
          <w:drawing>
            <wp:inline distT="0" distB="0" distL="0" distR="0" wp14:anchorId="52A6BF34" wp14:editId="620211EB">
              <wp:extent cx="5713744" cy="179202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7">
                        <a:extLst>
                          <a:ext uri="{28A0092B-C50C-407E-A947-70E740481C1C}">
                            <a14:useLocalDpi xmlns:a14="http://schemas.microsoft.com/office/drawing/2010/main" val="0"/>
                          </a:ext>
                        </a:extLst>
                      </a:blip>
                      <a:srcRect t="10628" b="8722"/>
                      <a:stretch/>
                    </pic:blipFill>
                    <pic:spPr bwMode="auto">
                      <a:xfrm>
                        <a:off x="0" y="0"/>
                        <a:ext cx="5715000" cy="1792414"/>
                      </a:xfrm>
                      <a:prstGeom prst="rect">
                        <a:avLst/>
                      </a:prstGeom>
                      <a:ln>
                        <a:noFill/>
                      </a:ln>
                      <a:extLst>
                        <a:ext uri="{53640926-AAD7-44D8-BBD7-CCE9431645EC}">
                          <a14:shadowObscured xmlns:a14="http://schemas.microsoft.com/office/drawing/2010/main"/>
                        </a:ext>
                      </a:extLst>
                    </pic:spPr>
                  </pic:pic>
                </a:graphicData>
              </a:graphic>
            </wp:inline>
          </w:drawing>
        </w:r>
      </w:ins>
    </w:p>
    <w:p w14:paraId="762A5FB6" w14:textId="49B5410E" w:rsidR="002756F9" w:rsidRPr="001F473C" w:rsidRDefault="002756F9" w:rsidP="002756F9">
      <w:pPr>
        <w:suppressLineNumbers/>
        <w:spacing w:line="240" w:lineRule="auto"/>
        <w:rPr>
          <w:ins w:id="8" w:author="Katherine Hayes" w:date="2024-08-13T13:18:00Z"/>
          <w:rFonts w:cs="Times New Roman"/>
        </w:rPr>
      </w:pPr>
      <w:ins w:id="9" w:author="Katherine Hayes" w:date="2024-08-13T13:18:00Z">
        <w:r w:rsidRPr="001F473C">
          <w:rPr>
            <w:rFonts w:cs="Times New Roman"/>
            <w:b/>
            <w:bCs/>
          </w:rPr>
          <w:t xml:space="preserve">Figure </w:t>
        </w:r>
      </w:ins>
      <w:ins w:id="10" w:author="Katherine Hayes" w:date="2024-08-13T13:19:00Z">
        <w:r>
          <w:rPr>
            <w:rFonts w:cs="Times New Roman"/>
            <w:b/>
            <w:bCs/>
          </w:rPr>
          <w:t>S2</w:t>
        </w:r>
      </w:ins>
      <w:ins w:id="11" w:author="Katherine Hayes" w:date="2024-08-13T13:18:00Z">
        <w:r w:rsidRPr="001F473C">
          <w:rPr>
            <w:rFonts w:cs="Times New Roman"/>
            <w:b/>
            <w:bCs/>
          </w:rPr>
          <w:t>.</w:t>
        </w:r>
        <w:r w:rsidRPr="001F473C">
          <w:rPr>
            <w:rFonts w:cs="Times New Roman"/>
          </w:rPr>
          <w:t xml:space="preserve"> Surface fuels across once- and thrice-burned simulated landscapes. X = 0 indicates the transition zone. Surface fuels are split into two classes:1) litter only, shown in tan, where leaves, lichen, moss, and organic material are present, but not understory vegetation; and 2) litter, herbs, and shrubs, shown in green, where herbs and woody shrubs are present on top of the existing litter layer. </w:t>
        </w:r>
      </w:ins>
    </w:p>
    <w:p w14:paraId="7BBF1743" w14:textId="77777777" w:rsidR="00A653A3" w:rsidRDefault="00A653A3">
      <w:pPr>
        <w:rPr>
          <w:ins w:id="12" w:author="Katherine Hayes" w:date="2024-06-27T13:34:00Z"/>
        </w:rPr>
      </w:pPr>
    </w:p>
    <w:p w14:paraId="6CEC6D55" w14:textId="77777777" w:rsidR="007811D5" w:rsidRPr="001F473C" w:rsidRDefault="007811D5" w:rsidP="007811D5">
      <w:pPr>
        <w:pStyle w:val="Heading3"/>
        <w:rPr>
          <w:ins w:id="13" w:author="Katherine Hayes" w:date="2024-06-28T12:42:00Z"/>
        </w:rPr>
      </w:pPr>
      <w:ins w:id="14" w:author="Katherine Hayes" w:date="2024-06-28T12:42:00Z">
        <w:r w:rsidRPr="001F473C">
          <w:lastRenderedPageBreak/>
          <w:t>3.4 Modeled Fire Effects</w:t>
        </w:r>
      </w:ins>
    </w:p>
    <w:p w14:paraId="452B49CB" w14:textId="77777777" w:rsidR="002756F9" w:rsidRDefault="002756F9" w:rsidP="007811D5">
      <w:pPr>
        <w:ind w:firstLine="720"/>
        <w:rPr>
          <w:ins w:id="15" w:author="Katherine Hayes" w:date="2024-08-13T13:17:00Z"/>
          <w:rFonts w:cs="Times New Roman"/>
        </w:rPr>
      </w:pPr>
      <w:ins w:id="16" w:author="Katherine Hayes" w:date="2024-08-13T13:17:00Z">
        <w:r w:rsidRPr="001F473C">
          <w:rPr>
            <w:rFonts w:cs="Times New Roman"/>
          </w:rPr>
          <w:t>We estimated canopy and canopy consumption in each scenario, measured as the percentage of dry mass consumed between the start and end of the simulation. Canopy fuel consumption was estimated as the average consumption of tracked trees (the number of which was determined by computational restraints) in the area of interest for each scenario.</w:t>
        </w:r>
        <w:r>
          <w:rPr>
            <w:rFonts w:cs="Times New Roman"/>
          </w:rPr>
          <w:t xml:space="preserve"> </w:t>
        </w:r>
      </w:ins>
    </w:p>
    <w:p w14:paraId="28BACA96" w14:textId="77777777" w:rsidR="007811D5" w:rsidRPr="001F473C" w:rsidRDefault="007811D5" w:rsidP="007811D5">
      <w:pPr>
        <w:ind w:firstLine="720"/>
        <w:rPr>
          <w:ins w:id="17" w:author="Katherine Hayes" w:date="2024-06-28T12:42:00Z"/>
          <w:rFonts w:cs="Times New Roman"/>
        </w:rPr>
      </w:pPr>
      <w:ins w:id="18" w:author="Katherine Hayes" w:date="2024-06-28T12:42:00Z">
        <w:r w:rsidRPr="001F473C">
          <w:rPr>
            <w:rFonts w:cs="Times New Roman"/>
          </w:rPr>
          <w:t>Canopy consumption was greatest in the once-burned, mean fuel, and extreme weather scenarios (Fig. 10); again, it was the only scenario to burn past 75 m beyond the transition point (x = 0). All other scenarios displayed high canopy consumption (&lt; 75%) within the first 25 m of combustion before dropping to 0% by the first 40 m of the reburned domain (Fig. 11).</w:t>
        </w:r>
      </w:ins>
    </w:p>
    <w:p w14:paraId="20FAAE2B" w14:textId="77777777" w:rsidR="007811D5" w:rsidRPr="001F473C" w:rsidRDefault="007811D5" w:rsidP="007811D5">
      <w:pPr>
        <w:suppressLineNumbers/>
        <w:spacing w:line="240" w:lineRule="auto"/>
        <w:rPr>
          <w:ins w:id="19" w:author="Katherine Hayes" w:date="2024-06-28T12:42:00Z"/>
          <w:rFonts w:cs="Times New Roman"/>
        </w:rPr>
      </w:pPr>
      <w:ins w:id="20" w:author="Katherine Hayes" w:date="2024-06-28T12:42:00Z">
        <w:r w:rsidRPr="001F473C">
          <w:rPr>
            <w:rFonts w:cs="Times New Roman"/>
            <w:noProof/>
          </w:rPr>
          <w:drawing>
            <wp:inline distT="0" distB="0" distL="0" distR="0" wp14:anchorId="629CC45C" wp14:editId="3325DD08">
              <wp:extent cx="5943600" cy="3566160"/>
              <wp:effectExtent l="0" t="0" r="0" b="254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ins>
    </w:p>
    <w:p w14:paraId="4BF85AA6" w14:textId="77777777" w:rsidR="007811D5" w:rsidRPr="001F473C" w:rsidRDefault="007811D5" w:rsidP="007811D5">
      <w:pPr>
        <w:suppressLineNumbers/>
        <w:spacing w:line="240" w:lineRule="auto"/>
        <w:rPr>
          <w:ins w:id="21" w:author="Katherine Hayes" w:date="2024-06-28T12:42:00Z"/>
          <w:rFonts w:cs="Times New Roman"/>
          <w:color w:val="000000" w:themeColor="text1"/>
        </w:rPr>
      </w:pPr>
      <w:ins w:id="22" w:author="Katherine Hayes" w:date="2024-06-28T12:42:00Z">
        <w:r w:rsidRPr="001F473C">
          <w:rPr>
            <w:rFonts w:cs="Times New Roman"/>
            <w:b/>
            <w:bCs/>
            <w:color w:val="000000" w:themeColor="text1"/>
          </w:rPr>
          <w:t>Figure 10.</w:t>
        </w:r>
        <w:r w:rsidRPr="001F473C">
          <w:rPr>
            <w:rFonts w:cs="Times New Roman"/>
            <w:color w:val="000000" w:themeColor="text1"/>
          </w:rPr>
          <w:t xml:space="preserve"> Two-dimensional canopy consumption between 1-time and three-time burns and across median and high-fuel scenarios. X of 0 at the bottom left indicates the start of the burned fuels and the beginning of the transition between mature and burned landscapes. High-fuel scenarios contain fewer trees owing to computational limits to the number of trees that can be tracked in WFDS (the modeling domain remained consistent, however).  </w:t>
        </w:r>
      </w:ins>
    </w:p>
    <w:p w14:paraId="11BA6088" w14:textId="77777777" w:rsidR="007811D5" w:rsidRPr="001F473C" w:rsidRDefault="007811D5" w:rsidP="007811D5">
      <w:pPr>
        <w:suppressLineNumbers/>
        <w:spacing w:line="240" w:lineRule="auto"/>
        <w:rPr>
          <w:ins w:id="23" w:author="Katherine Hayes" w:date="2024-06-28T12:42:00Z"/>
          <w:rFonts w:cs="Times New Roman"/>
          <w:color w:val="000000" w:themeColor="text1"/>
        </w:rPr>
      </w:pPr>
    </w:p>
    <w:p w14:paraId="36160D29" w14:textId="77777777" w:rsidR="007811D5" w:rsidRPr="001F473C" w:rsidRDefault="007811D5" w:rsidP="007811D5">
      <w:pPr>
        <w:rPr>
          <w:ins w:id="24" w:author="Katherine Hayes" w:date="2024-06-28T12:42:00Z"/>
          <w:rFonts w:cs="Times New Roman"/>
        </w:rPr>
      </w:pPr>
      <w:ins w:id="25" w:author="Katherine Hayes" w:date="2024-06-28T12:42:00Z">
        <w:r w:rsidRPr="001F473C">
          <w:rPr>
            <w:rFonts w:cs="Times New Roman"/>
          </w:rPr>
          <w:lastRenderedPageBreak/>
          <w:tab/>
          <w:t xml:space="preserve">The average crown consumption was close to zero percent within 30 – 40 m past the transition zone in all thrice-burned landscapes (Fig. 11). </w:t>
        </w:r>
      </w:ins>
    </w:p>
    <w:p w14:paraId="0703A9E0" w14:textId="77777777" w:rsidR="007811D5" w:rsidRPr="001F473C" w:rsidRDefault="007811D5" w:rsidP="007811D5">
      <w:pPr>
        <w:suppressLineNumbers/>
        <w:rPr>
          <w:ins w:id="26" w:author="Katherine Hayes" w:date="2024-06-28T12:42:00Z"/>
          <w:rFonts w:cs="Times New Roman"/>
        </w:rPr>
      </w:pPr>
      <w:ins w:id="27" w:author="Katherine Hayes" w:date="2024-06-28T12:42:00Z">
        <w:r w:rsidRPr="001F473C">
          <w:rPr>
            <w:rFonts w:cs="Times New Roman"/>
            <w:noProof/>
          </w:rPr>
          <w:drawing>
            <wp:inline distT="0" distB="0" distL="0" distR="0" wp14:anchorId="4E9D4D0E" wp14:editId="03A1E110">
              <wp:extent cx="5943600" cy="14859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ins>
    </w:p>
    <w:p w14:paraId="3298B0E5" w14:textId="77777777" w:rsidR="007811D5" w:rsidRPr="001F473C" w:rsidRDefault="007811D5" w:rsidP="007811D5">
      <w:pPr>
        <w:suppressLineNumbers/>
        <w:spacing w:line="240" w:lineRule="auto"/>
        <w:rPr>
          <w:ins w:id="28" w:author="Katherine Hayes" w:date="2024-06-28T12:42:00Z"/>
          <w:rFonts w:cs="Times New Roman"/>
        </w:rPr>
      </w:pPr>
      <w:ins w:id="29" w:author="Katherine Hayes" w:date="2024-06-28T12:42:00Z">
        <w:r w:rsidRPr="001F473C">
          <w:rPr>
            <w:rFonts w:cs="Times New Roman"/>
            <w:b/>
            <w:bCs/>
          </w:rPr>
          <w:t>Figure 11</w:t>
        </w:r>
        <w:r w:rsidRPr="001F473C">
          <w:rPr>
            <w:rFonts w:cs="Times New Roman"/>
          </w:rPr>
          <w:t xml:space="preserve">. Crown consumption across 1-time and 3-time burns and median and high-fuel scenarios. Circles represent the difference between the starting crown mass and ending crown mass, with larger circles indicating a larger difference. Blue line represents the average. </w:t>
        </w:r>
      </w:ins>
    </w:p>
    <w:p w14:paraId="26C715B6" w14:textId="77777777" w:rsidR="00556FDB" w:rsidRDefault="00556FDB"/>
    <w:sectPr w:rsidR="00556FDB" w:rsidSect="00487B6E">
      <w:headerReference w:type="default" r:id="rId10"/>
      <w:footerReference w:type="even" r:id="rId11"/>
      <w:footerReference w:type="default" r:id="rId12"/>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1D3BA" w14:textId="77777777" w:rsidR="001752B1" w:rsidRDefault="001752B1">
      <w:pPr>
        <w:spacing w:line="240" w:lineRule="auto"/>
      </w:pPr>
      <w:r>
        <w:separator/>
      </w:r>
    </w:p>
  </w:endnote>
  <w:endnote w:type="continuationSeparator" w:id="0">
    <w:p w14:paraId="7B08B56D" w14:textId="77777777" w:rsidR="001752B1" w:rsidRDefault="00175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EC5BF" w14:textId="77777777" w:rsidR="00A55CF3" w:rsidRDefault="00000000">
    <w:pPr>
      <w:pBdr>
        <w:top w:val="nil"/>
        <w:left w:val="nil"/>
        <w:bottom w:val="nil"/>
        <w:right w:val="nil"/>
        <w:between w:val="nil"/>
      </w:pBdr>
      <w:tabs>
        <w:tab w:val="center" w:pos="4680"/>
        <w:tab w:val="right" w:pos="9360"/>
      </w:tabs>
      <w:jc w:val="right"/>
      <w:rPr>
        <w:color w:val="000000"/>
      </w:rPr>
    </w:pPr>
    <w:del w:id="30" w:author="Katherine Hayes" w:date="2023-05-12T17:02:00Z">
      <w:r>
        <w:rPr>
          <w:color w:val="000000"/>
        </w:rPr>
        <w:fldChar w:fldCharType="begin"/>
      </w:r>
      <w:r>
        <w:rPr>
          <w:color w:val="000000"/>
        </w:rPr>
        <w:delInstrText>PAGE</w:delInstrText>
      </w:r>
      <w:r>
        <w:rPr>
          <w:color w:val="000000"/>
        </w:rPr>
        <w:fldChar w:fldCharType="end"/>
      </w:r>
    </w:del>
    <w:ins w:id="31" w:author="Katherine Hayes" w:date="2023-05-12T17:02:00Z">
      <w:r>
        <w:rPr>
          <w:color w:val="000000"/>
        </w:rPr>
        <w:fldChar w:fldCharType="begin"/>
      </w:r>
      <w:r>
        <w:rPr>
          <w:color w:val="000000"/>
        </w:rPr>
        <w:instrText>PAGE</w:instrText>
      </w:r>
      <w:r>
        <w:rPr>
          <w:color w:val="000000"/>
        </w:rPr>
        <w:fldChar w:fldCharType="separate"/>
      </w:r>
      <w:r>
        <w:rPr>
          <w:color w:val="000000"/>
        </w:rPr>
        <w:fldChar w:fldCharType="end"/>
      </w:r>
    </w:ins>
  </w:p>
  <w:p w14:paraId="37F50B33" w14:textId="77777777" w:rsidR="00A55CF3" w:rsidRDefault="00A55CF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FC6FF" w14:textId="77777777" w:rsidR="00A55CF3"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EA1D15F" w14:textId="77777777" w:rsidR="00A55CF3" w:rsidRDefault="00A55CF3">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3352" w14:textId="77777777" w:rsidR="001752B1" w:rsidRDefault="001752B1">
      <w:pPr>
        <w:spacing w:line="240" w:lineRule="auto"/>
      </w:pPr>
      <w:r>
        <w:separator/>
      </w:r>
    </w:p>
  </w:footnote>
  <w:footnote w:type="continuationSeparator" w:id="0">
    <w:p w14:paraId="583F08FF" w14:textId="77777777" w:rsidR="001752B1" w:rsidRDefault="001752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4AFE" w14:textId="77777777" w:rsidR="00A55CF3" w:rsidRDefault="00A55CF3">
    <w:pPr>
      <w:pBdr>
        <w:top w:val="nil"/>
        <w:left w:val="nil"/>
        <w:bottom w:val="nil"/>
        <w:right w:val="nil"/>
        <w:between w:val="nil"/>
      </w:pBdr>
      <w:tabs>
        <w:tab w:val="center" w:pos="4680"/>
        <w:tab w:val="right" w:pos="9360"/>
      </w:tabs>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Hayes">
    <w15:presenceInfo w15:providerId="None" w15:userId="Katherine Hay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6E"/>
    <w:rsid w:val="000B1802"/>
    <w:rsid w:val="001752B1"/>
    <w:rsid w:val="001B5761"/>
    <w:rsid w:val="002756F9"/>
    <w:rsid w:val="00295CA0"/>
    <w:rsid w:val="004154B1"/>
    <w:rsid w:val="00487B6E"/>
    <w:rsid w:val="00544607"/>
    <w:rsid w:val="00556FDB"/>
    <w:rsid w:val="0059612C"/>
    <w:rsid w:val="007811D5"/>
    <w:rsid w:val="00820D38"/>
    <w:rsid w:val="008834C4"/>
    <w:rsid w:val="00920D1E"/>
    <w:rsid w:val="00932E59"/>
    <w:rsid w:val="009D5E0C"/>
    <w:rsid w:val="00A55CF3"/>
    <w:rsid w:val="00A653A3"/>
    <w:rsid w:val="00A860A6"/>
    <w:rsid w:val="00C33320"/>
    <w:rsid w:val="00C923F0"/>
    <w:rsid w:val="00CE651E"/>
    <w:rsid w:val="00D135C9"/>
    <w:rsid w:val="00E42833"/>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9594B"/>
  <w15:chartTrackingRefBased/>
  <w15:docId w15:val="{BBE2DD50-FFF9-ED4A-9DBA-A4273EF4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B6E"/>
    <w:pPr>
      <w:spacing w:line="480" w:lineRule="auto"/>
    </w:pPr>
    <w:rPr>
      <w:rFonts w:ascii="Times New Roman" w:eastAsia="Calibri" w:hAnsi="Times New Roman" w:cs="Calibri"/>
    </w:rPr>
  </w:style>
  <w:style w:type="paragraph" w:styleId="Heading1">
    <w:name w:val="heading 1"/>
    <w:basedOn w:val="Normal"/>
    <w:next w:val="Normal"/>
    <w:link w:val="Heading1Char"/>
    <w:autoRedefine/>
    <w:uiPriority w:val="9"/>
    <w:qFormat/>
    <w:rsid w:val="00A860A6"/>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line="24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CE651E"/>
    <w:pPr>
      <w:keepNext/>
      <w:keepLines/>
      <w:spacing w:before="40"/>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CE651E"/>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table" w:styleId="TableGrid">
    <w:name w:val="Table Grid"/>
    <w:basedOn w:val="TableNormal"/>
    <w:uiPriority w:val="39"/>
    <w:rsid w:val="00487B6E"/>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87B6E"/>
  </w:style>
  <w:style w:type="paragraph" w:styleId="Revision">
    <w:name w:val="Revision"/>
    <w:hidden/>
    <w:uiPriority w:val="99"/>
    <w:semiHidden/>
    <w:rsid w:val="00D135C9"/>
    <w:rPr>
      <w:rFonts w:ascii="Times New Roman" w:eastAsia="Calibri" w:hAnsi="Times New Roman" w:cs="Calibri"/>
    </w:rPr>
  </w:style>
  <w:style w:type="character" w:styleId="CommentReference">
    <w:name w:val="annotation reference"/>
    <w:basedOn w:val="DefaultParagraphFont"/>
    <w:uiPriority w:val="99"/>
    <w:semiHidden/>
    <w:unhideWhenUsed/>
    <w:rsid w:val="002756F9"/>
    <w:rPr>
      <w:sz w:val="16"/>
      <w:szCs w:val="16"/>
    </w:rPr>
  </w:style>
  <w:style w:type="paragraph" w:styleId="CommentText">
    <w:name w:val="annotation text"/>
    <w:basedOn w:val="Normal"/>
    <w:link w:val="CommentTextChar"/>
    <w:uiPriority w:val="99"/>
    <w:unhideWhenUsed/>
    <w:rsid w:val="002756F9"/>
    <w:rPr>
      <w:sz w:val="20"/>
      <w:szCs w:val="20"/>
    </w:rPr>
  </w:style>
  <w:style w:type="character" w:customStyle="1" w:styleId="CommentTextChar">
    <w:name w:val="Comment Text Char"/>
    <w:basedOn w:val="DefaultParagraphFont"/>
    <w:link w:val="CommentText"/>
    <w:uiPriority w:val="99"/>
    <w:rsid w:val="002756F9"/>
    <w:rPr>
      <w:rFonts w:ascii="Times New Roman" w:eastAsia="Calibri" w:hAnsi="Times New Roman"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8</cp:revision>
  <dcterms:created xsi:type="dcterms:W3CDTF">2023-09-07T14:29:00Z</dcterms:created>
  <dcterms:modified xsi:type="dcterms:W3CDTF">2024-08-13T21:47:00Z</dcterms:modified>
</cp:coreProperties>
</file>