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A42FD" w14:textId="609BB384" w:rsidR="00785540" w:rsidRDefault="00BB14F8" w:rsidP="006A0D76">
      <w:pPr>
        <w:pStyle w:val="CompanyName"/>
        <w:ind w:left="288" w:right="5040" w:firstLine="0"/>
        <w:jc w:val="left"/>
      </w:pPr>
      <w:r>
        <w:t>B</w:t>
      </w:r>
      <w:r w:rsidR="00532DB9">
        <w:t>lackwell</w:t>
      </w:r>
      <w:r w:rsidR="006A0D76">
        <w:t xml:space="preserve"> </w:t>
      </w:r>
      <w:r w:rsidR="00AA75FF">
        <w:t>Electronics</w:t>
      </w:r>
    </w:p>
    <w:tbl>
      <w:tblPr>
        <w:tblStyle w:val="Memotable"/>
        <w:tblW w:w="5000" w:type="pct"/>
        <w:tblLayout w:type="fixed"/>
        <w:tblCellMar>
          <w:left w:w="0" w:type="dxa"/>
          <w:right w:w="0" w:type="dxa"/>
        </w:tblCellMar>
        <w:tblLook w:val="04A0" w:firstRow="1" w:lastRow="0" w:firstColumn="1" w:lastColumn="0" w:noHBand="0" w:noVBand="1"/>
      </w:tblPr>
      <w:tblGrid>
        <w:gridCol w:w="1327"/>
        <w:gridCol w:w="8753"/>
      </w:tblGrid>
      <w:tr w:rsidR="00785540" w14:paraId="289A6DC4" w14:textId="77777777" w:rsidTr="00FD3533">
        <w:trPr>
          <w:trHeight w:hRule="exact" w:val="576"/>
        </w:trPr>
        <w:sdt>
          <w:sdtPr>
            <w:alias w:val="To:"/>
            <w:tag w:val="To:"/>
            <w:id w:val="1015413264"/>
            <w:placeholder>
              <w:docPart w:val="F71BC626EF9E45DD84D7089078EE58C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BC8DB1F" w14:textId="77777777" w:rsidR="00785540" w:rsidRPr="006F57FD" w:rsidRDefault="00785540" w:rsidP="00202988">
                <w:pPr>
                  <w:pStyle w:val="Heading1"/>
                  <w:contextualSpacing w:val="0"/>
                  <w:outlineLvl w:val="0"/>
                </w:pPr>
                <w:r w:rsidRPr="006F57FD">
                  <w:t>To:</w:t>
                </w:r>
              </w:p>
            </w:tc>
          </w:sdtContent>
        </w:sdt>
        <w:tc>
          <w:tcPr>
            <w:tcW w:w="8128" w:type="dxa"/>
          </w:tcPr>
          <w:p w14:paraId="238B0DBA" w14:textId="77F3030A" w:rsidR="00785540" w:rsidRPr="00FB2B58" w:rsidRDefault="00046DA6" w:rsidP="00202988">
            <w:pPr>
              <w:spacing w:before="280"/>
              <w:contextualSpacing w:val="0"/>
              <w:cnfStyle w:val="000000000000" w:firstRow="0" w:lastRow="0" w:firstColumn="0" w:lastColumn="0" w:oddVBand="0" w:evenVBand="0" w:oddHBand="0" w:evenHBand="0" w:firstRowFirstColumn="0" w:firstRowLastColumn="0" w:lastRowFirstColumn="0" w:lastRowLastColumn="0"/>
            </w:pPr>
            <w:r>
              <w:t>Danielle Sherman, CTO, Blackwell Electronics</w:t>
            </w:r>
          </w:p>
        </w:tc>
      </w:tr>
      <w:tr w:rsidR="00046DA6" w14:paraId="2BB6A78B" w14:textId="77777777" w:rsidTr="00FD3533">
        <w:trPr>
          <w:trHeight w:hRule="exact" w:val="576"/>
        </w:trPr>
        <w:tc>
          <w:tcPr>
            <w:cnfStyle w:val="001000000000" w:firstRow="0" w:lastRow="0" w:firstColumn="1" w:lastColumn="0" w:oddVBand="0" w:evenVBand="0" w:oddHBand="0" w:evenHBand="0" w:firstRowFirstColumn="0" w:firstRowLastColumn="0" w:lastRowFirstColumn="0" w:lastRowLastColumn="0"/>
            <w:tcW w:w="1232" w:type="dxa"/>
          </w:tcPr>
          <w:p w14:paraId="6935436B" w14:textId="20FEDA42" w:rsidR="00046DA6" w:rsidRDefault="00046DA6" w:rsidP="00202988">
            <w:pPr>
              <w:pStyle w:val="Heading1"/>
              <w:outlineLvl w:val="0"/>
            </w:pPr>
            <w:r>
              <w:t>Cc:</w:t>
            </w:r>
          </w:p>
        </w:tc>
        <w:tc>
          <w:tcPr>
            <w:tcW w:w="8128" w:type="dxa"/>
          </w:tcPr>
          <w:p w14:paraId="3B684F4A" w14:textId="511157CA" w:rsidR="00046DA6" w:rsidRDefault="00046DA6" w:rsidP="00202988">
            <w:pPr>
              <w:cnfStyle w:val="000000000000" w:firstRow="0" w:lastRow="0" w:firstColumn="0" w:lastColumn="0" w:oddVBand="0" w:evenVBand="0" w:oddHBand="0" w:evenHBand="0" w:firstRowFirstColumn="0" w:firstRowLastColumn="0" w:lastRowFirstColumn="0" w:lastRowLastColumn="0"/>
            </w:pPr>
            <w:r>
              <w:t>E. Logan Crawford</w:t>
            </w:r>
          </w:p>
        </w:tc>
      </w:tr>
      <w:tr w:rsidR="00785540" w14:paraId="36A31315" w14:textId="77777777" w:rsidTr="00FD3533">
        <w:trPr>
          <w:trHeight w:hRule="exact" w:val="576"/>
        </w:trPr>
        <w:sdt>
          <w:sdtPr>
            <w:alias w:val="From:"/>
            <w:tag w:val="From:"/>
            <w:id w:val="21141888"/>
            <w:placeholder>
              <w:docPart w:val="D2003518D774437998951CC6710ABF3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4771BFD6" w14:textId="77777777" w:rsidR="00785540" w:rsidRPr="006F57FD" w:rsidRDefault="00785540" w:rsidP="00202988">
                <w:pPr>
                  <w:pStyle w:val="Heading1"/>
                  <w:contextualSpacing w:val="0"/>
                  <w:outlineLvl w:val="0"/>
                </w:pPr>
                <w:r w:rsidRPr="006F57FD">
                  <w:t>From:</w:t>
                </w:r>
              </w:p>
            </w:tc>
          </w:sdtContent>
        </w:sdt>
        <w:tc>
          <w:tcPr>
            <w:tcW w:w="8128" w:type="dxa"/>
          </w:tcPr>
          <w:p w14:paraId="71D94117" w14:textId="67710128" w:rsidR="00EB38E6" w:rsidRPr="00FB2B58" w:rsidRDefault="00E3294C" w:rsidP="00202988">
            <w:pPr>
              <w:spacing w:before="280"/>
              <w:contextualSpacing w:val="0"/>
              <w:cnfStyle w:val="000000000000" w:firstRow="0" w:lastRow="0" w:firstColumn="0" w:lastColumn="0" w:oddVBand="0" w:evenVBand="0" w:oddHBand="0" w:evenHBand="0" w:firstRowFirstColumn="0" w:firstRowLastColumn="0" w:lastRowFirstColumn="0" w:lastRowLastColumn="0"/>
            </w:pPr>
            <w:r>
              <w:t>Kate Koebbe</w:t>
            </w:r>
          </w:p>
        </w:tc>
      </w:tr>
      <w:tr w:rsidR="00785540" w14:paraId="314A8A49" w14:textId="77777777" w:rsidTr="00FD3533">
        <w:trPr>
          <w:trHeight w:hRule="exact" w:val="576"/>
        </w:trPr>
        <w:sdt>
          <w:sdtPr>
            <w:alias w:val="Date:"/>
            <w:tag w:val="Date:"/>
            <w:id w:val="-2052519928"/>
            <w:placeholder>
              <w:docPart w:val="75493FD7E04E41FCB46B883DE0797F28"/>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3636B631" w14:textId="77777777" w:rsidR="00785540" w:rsidRPr="006F57FD" w:rsidRDefault="00785540" w:rsidP="00202988">
                <w:pPr>
                  <w:pStyle w:val="Heading1"/>
                  <w:contextualSpacing w:val="0"/>
                  <w:outlineLvl w:val="0"/>
                </w:pPr>
                <w:r w:rsidRPr="006F57FD">
                  <w:t>Date:</w:t>
                </w:r>
              </w:p>
            </w:tc>
          </w:sdtContent>
        </w:sdt>
        <w:tc>
          <w:tcPr>
            <w:tcW w:w="8128" w:type="dxa"/>
          </w:tcPr>
          <w:p w14:paraId="6BF857BB" w14:textId="2DA25679" w:rsidR="00785540" w:rsidRPr="00FB2B58" w:rsidRDefault="00CA3C5D" w:rsidP="00202988">
            <w:pPr>
              <w:spacing w:before="280"/>
              <w:contextualSpacing w:val="0"/>
              <w:cnfStyle w:val="000000000000" w:firstRow="0" w:lastRow="0" w:firstColumn="0" w:lastColumn="0" w:oddVBand="0" w:evenVBand="0" w:oddHBand="0" w:evenHBand="0" w:firstRowFirstColumn="0" w:firstRowLastColumn="0" w:lastRowFirstColumn="0" w:lastRowLastColumn="0"/>
            </w:pPr>
            <w:r>
              <w:t>20 January 2022</w:t>
            </w:r>
          </w:p>
        </w:tc>
      </w:tr>
      <w:tr w:rsidR="00785540" w14:paraId="7CFFFF38" w14:textId="77777777" w:rsidTr="00FD3533">
        <w:trPr>
          <w:trHeight w:hRule="exact" w:val="576"/>
        </w:trPr>
        <w:sdt>
          <w:sdtPr>
            <w:alias w:val="Re:"/>
            <w:tag w:val="Re:"/>
            <w:id w:val="-1435443775"/>
            <w:placeholder>
              <w:docPart w:val="3E566D586CAD44F5929A9DFBB022102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13A7D4FC" w14:textId="77777777" w:rsidR="00785540" w:rsidRPr="006F57FD" w:rsidRDefault="00785540" w:rsidP="00202988">
                <w:pPr>
                  <w:pStyle w:val="Heading1"/>
                  <w:contextualSpacing w:val="0"/>
                  <w:outlineLvl w:val="0"/>
                </w:pPr>
                <w:r w:rsidRPr="006F57FD">
                  <w:t>Re:</w:t>
                </w:r>
              </w:p>
            </w:tc>
          </w:sdtContent>
        </w:sdt>
        <w:tc>
          <w:tcPr>
            <w:tcW w:w="8128" w:type="dxa"/>
            <w:tcMar>
              <w:left w:w="0" w:type="dxa"/>
              <w:bottom w:w="288" w:type="dxa"/>
              <w:right w:w="0" w:type="dxa"/>
            </w:tcMar>
          </w:tcPr>
          <w:p w14:paraId="28A27F72" w14:textId="6B964C2E" w:rsidR="00785540" w:rsidRPr="00FB2B58" w:rsidRDefault="00153556" w:rsidP="00202988">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Electronidex </w:t>
            </w:r>
            <w:r w:rsidR="00CA3C5D">
              <w:t>Market Basket Analysis</w:t>
            </w:r>
          </w:p>
        </w:tc>
      </w:tr>
    </w:tbl>
    <w:p w14:paraId="21C5AD0B" w14:textId="307A465D" w:rsidR="00933B8F" w:rsidRDefault="00046DA6" w:rsidP="003B20A5">
      <w:pPr>
        <w:shd w:val="clear" w:color="auto" w:fill="F3F3F3"/>
        <w:spacing w:after="60"/>
        <w:rPr>
          <w:rFonts w:cstheme="minorHAnsi"/>
        </w:rPr>
      </w:pPr>
      <w:r w:rsidRPr="00046DA6">
        <w:rPr>
          <w:rFonts w:ascii="Roboto" w:eastAsia="Times New Roman" w:hAnsi="Roboto"/>
          <w:color w:val="333333"/>
          <w:sz w:val="29"/>
          <w:szCs w:val="29"/>
        </w:rPr>
        <w:t> </w:t>
      </w:r>
    </w:p>
    <w:p w14:paraId="08A3E82E" w14:textId="63FB340B" w:rsidR="003C1B5E" w:rsidRDefault="00CA3C5D" w:rsidP="00EA6713">
      <w:pPr>
        <w:spacing w:line="360" w:lineRule="auto"/>
      </w:pPr>
      <w:r>
        <w:t xml:space="preserve">The Blackwell Electronics Data Analytics team was recently tasked with evaluating purchasing patterns among items offered by Electronidex, an online electronics retailer and prospective acquisition for our Board of Directors. Our Board is specifically interested in understanding whether </w:t>
      </w:r>
      <w:r w:rsidR="004108B3">
        <w:t xml:space="preserve">there are associations among items purchased and if there are sales opportunities our company should capitalize on if Blackwell acquires Electronidex. </w:t>
      </w:r>
    </w:p>
    <w:p w14:paraId="3CFD8023" w14:textId="646E09C9" w:rsidR="003C1B5E" w:rsidRDefault="003C1B5E" w:rsidP="00EA6713">
      <w:pPr>
        <w:spacing w:line="360" w:lineRule="auto"/>
      </w:pPr>
    </w:p>
    <w:p w14:paraId="2F988CDF" w14:textId="6C7A5F0D" w:rsidR="004108B3" w:rsidRDefault="002A24E1" w:rsidP="00EA6713">
      <w:pPr>
        <w:spacing w:line="360" w:lineRule="auto"/>
        <w:ind w:firstLine="0"/>
      </w:pPr>
      <w:r>
        <w:rPr>
          <w:noProof/>
        </w:rPr>
        <w:drawing>
          <wp:anchor distT="0" distB="0" distL="114300" distR="114300" simplePos="0" relativeHeight="251659264" behindDoc="1" locked="0" layoutInCell="1" allowOverlap="1" wp14:anchorId="6F0DBD91" wp14:editId="7CA80B02">
            <wp:simplePos x="0" y="0"/>
            <wp:positionH relativeFrom="column">
              <wp:posOffset>-17357</wp:posOffset>
            </wp:positionH>
            <wp:positionV relativeFrom="paragraph">
              <wp:posOffset>83185</wp:posOffset>
            </wp:positionV>
            <wp:extent cx="3640455" cy="3565525"/>
            <wp:effectExtent l="0" t="0" r="0" b="0"/>
            <wp:wrapTight wrapText="bothSides">
              <wp:wrapPolygon edited="0">
                <wp:start x="0" y="0"/>
                <wp:lineTo x="0" y="21465"/>
                <wp:lineTo x="21476" y="21465"/>
                <wp:lineTo x="2147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8"/>
                    <a:srcRect l="2731" t="8662"/>
                    <a:stretch/>
                  </pic:blipFill>
                  <pic:spPr bwMode="auto">
                    <a:xfrm>
                      <a:off x="0" y="0"/>
                      <a:ext cx="3640455" cy="356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08B3">
        <w:t xml:space="preserve">The data provided by Electronidex </w:t>
      </w:r>
      <w:r w:rsidR="00B612AA">
        <w:t>is</w:t>
      </w:r>
      <w:r w:rsidR="004108B3">
        <w:t xml:space="preserve"> </w:t>
      </w:r>
      <w:r w:rsidR="00153556">
        <w:t>a</w:t>
      </w:r>
      <w:r w:rsidR="004108B3">
        <w:t xml:space="preserve"> 30</w:t>
      </w:r>
      <w:r w:rsidR="00153556">
        <w:t>-</w:t>
      </w:r>
      <w:r w:rsidR="004108B3">
        <w:t xml:space="preserve">day </w:t>
      </w:r>
      <w:r w:rsidR="00B612AA">
        <w:t>transaction history, consisting of 9,835 transactions. The total number of items sold by Electronidex (125) is represented in the monthly sales volume (</w:t>
      </w:r>
      <w:proofErr w:type="gramStart"/>
      <w:r w:rsidR="00B612AA">
        <w:t>i.e.</w:t>
      </w:r>
      <w:proofErr w:type="gramEnd"/>
      <w:r w:rsidR="00B612AA">
        <w:t xml:space="preserve"> the company sold at least one of each item in its inventory during this month). The most frequently sold items are commonly sold items among most electronics retailers</w:t>
      </w:r>
      <w:r w:rsidR="007B3627">
        <w:t>. Sales volume for the top five most frequently sold items are: iMac (</w:t>
      </w:r>
      <w:r w:rsidR="00153556">
        <w:t>n=</w:t>
      </w:r>
      <w:r w:rsidR="007B3627">
        <w:t>2519), HP Laptop (</w:t>
      </w:r>
      <w:r w:rsidR="00153556">
        <w:t>n=</w:t>
      </w:r>
      <w:r w:rsidR="007B3627">
        <w:t>1909</w:t>
      </w:r>
      <w:r w:rsidR="00153556">
        <w:t>)</w:t>
      </w:r>
      <w:r w:rsidR="007B3627">
        <w:t>, CYBERPOWER Gamer Laptop (</w:t>
      </w:r>
      <w:r w:rsidR="00153556">
        <w:t>n=</w:t>
      </w:r>
      <w:r w:rsidR="007B3627">
        <w:t xml:space="preserve">1809), Apple </w:t>
      </w:r>
      <w:proofErr w:type="spellStart"/>
      <w:r w:rsidR="007B3627">
        <w:t>Earpods</w:t>
      </w:r>
      <w:proofErr w:type="spellEnd"/>
      <w:r w:rsidR="007B3627">
        <w:t xml:space="preserve"> (</w:t>
      </w:r>
      <w:r w:rsidR="00153556">
        <w:t>n=</w:t>
      </w:r>
      <w:r w:rsidR="007B3627">
        <w:t>1715), and Apple MacBook Air (</w:t>
      </w:r>
      <w:r w:rsidR="00153556">
        <w:t>n=</w:t>
      </w:r>
      <w:r w:rsidR="007B3627">
        <w:t xml:space="preserve">1530). </w:t>
      </w:r>
      <w:r w:rsidR="001E29EA">
        <w:t xml:space="preserve">The graphic </w:t>
      </w:r>
      <w:r w:rsidR="00EA7F6E">
        <w:t xml:space="preserve">at left </w:t>
      </w:r>
      <w:r w:rsidR="001E29EA">
        <w:t xml:space="preserve">illustrates the relative frequency of the top 10 items sold by Electronidex. </w:t>
      </w:r>
      <w:r w:rsidR="007B3627">
        <w:t xml:space="preserve">Approximately 62% of transactions contain four items or fewer. </w:t>
      </w:r>
    </w:p>
    <w:p w14:paraId="105349D4" w14:textId="664403A2" w:rsidR="00EA7F6E" w:rsidRDefault="00EA7F6E" w:rsidP="00EA6713">
      <w:pPr>
        <w:spacing w:line="360" w:lineRule="auto"/>
      </w:pPr>
    </w:p>
    <w:p w14:paraId="5A4C51D7" w14:textId="58750274" w:rsidR="00EA7F6E" w:rsidRDefault="000D70E4" w:rsidP="00EA6713">
      <w:pPr>
        <w:spacing w:line="360" w:lineRule="auto"/>
        <w:ind w:firstLine="0"/>
      </w:pPr>
      <w:r>
        <w:t xml:space="preserve">One of the key </w:t>
      </w:r>
      <w:r w:rsidR="00E0722C">
        <w:t xml:space="preserve">objectives of our analysis was to determine if there were relationships among sales of </w:t>
      </w:r>
      <w:proofErr w:type="gramStart"/>
      <w:r w:rsidR="00E0722C">
        <w:t>particular items</w:t>
      </w:r>
      <w:proofErr w:type="gramEnd"/>
      <w:r w:rsidR="00E0722C">
        <w:t>; that is, if a customer purchases item ‘y’</w:t>
      </w:r>
      <w:r w:rsidR="00826964">
        <w:t xml:space="preserve"> (called the </w:t>
      </w:r>
      <w:r w:rsidR="00826964">
        <w:rPr>
          <w:i/>
          <w:iCs/>
        </w:rPr>
        <w:t>condition</w:t>
      </w:r>
      <w:r w:rsidR="00826964">
        <w:t>)</w:t>
      </w:r>
      <w:r w:rsidR="00E0722C">
        <w:t xml:space="preserve"> are they likely to </w:t>
      </w:r>
      <w:r w:rsidR="00E0722C">
        <w:lastRenderedPageBreak/>
        <w:t>purchase item ‘z’</w:t>
      </w:r>
      <w:r w:rsidR="00826964">
        <w:t xml:space="preserve"> (the </w:t>
      </w:r>
      <w:r w:rsidR="00826964">
        <w:rPr>
          <w:i/>
          <w:iCs/>
        </w:rPr>
        <w:t>result</w:t>
      </w:r>
      <w:r w:rsidR="00826964">
        <w:t>)</w:t>
      </w:r>
      <w:r w:rsidR="00E0722C">
        <w:t xml:space="preserve">. This type of analysis is called </w:t>
      </w:r>
      <w:r w:rsidR="008A0F29">
        <w:t>association analysis</w:t>
      </w:r>
      <w:r w:rsidR="00E0722C">
        <w:t xml:space="preserve"> and relies on </w:t>
      </w:r>
      <w:r w:rsidR="008A0F29">
        <w:t>a specific algorithm, called the</w:t>
      </w:r>
      <w:r w:rsidR="00E0722C">
        <w:t xml:space="preserve"> </w:t>
      </w:r>
      <w:proofErr w:type="spellStart"/>
      <w:r w:rsidR="00E0722C">
        <w:t>Apriori</w:t>
      </w:r>
      <w:proofErr w:type="spellEnd"/>
      <w:r w:rsidR="00E0722C">
        <w:t xml:space="preserve"> Algorithm</w:t>
      </w:r>
      <w:r w:rsidR="008A0F29">
        <w:t>,</w:t>
      </w:r>
      <w:r w:rsidR="00E0722C">
        <w:t xml:space="preserve"> to determine item associations. </w:t>
      </w:r>
      <w:r w:rsidR="008A0F29">
        <w:t xml:space="preserve">Association analysis produces association rules, where the rules </w:t>
      </w:r>
      <w:r w:rsidR="00AD542B">
        <w:t xml:space="preserve">demonstrate the individual associations (see our “y </w:t>
      </w:r>
      <w:r w:rsidR="00AD542B">
        <w:sym w:font="Wingdings" w:char="F0E0"/>
      </w:r>
      <w:r w:rsidR="00AD542B">
        <w:t xml:space="preserve"> z” above). W</w:t>
      </w:r>
      <w:r w:rsidR="002A1562">
        <w:t xml:space="preserve">e can set </w:t>
      </w:r>
      <w:r w:rsidR="008A0F29">
        <w:t>specific measures</w:t>
      </w:r>
      <w:r w:rsidR="00AD542B">
        <w:t xml:space="preserve"> of these rules</w:t>
      </w:r>
      <w:r w:rsidR="008A0F29">
        <w:t xml:space="preserve"> to determine applicability to our business goals called </w:t>
      </w:r>
      <w:r w:rsidR="008A0F29">
        <w:rPr>
          <w:i/>
          <w:iCs/>
        </w:rPr>
        <w:t>support</w:t>
      </w:r>
      <w:r w:rsidR="008A0F29">
        <w:t xml:space="preserve"> and </w:t>
      </w:r>
      <w:r w:rsidR="008A0F29">
        <w:rPr>
          <w:i/>
          <w:iCs/>
        </w:rPr>
        <w:t>confidence</w:t>
      </w:r>
      <w:r w:rsidR="00595B62">
        <w:t xml:space="preserve">, where support determines how often a rule is applicable to our data and confidence determines how often items appear in transactions. </w:t>
      </w:r>
      <w:r w:rsidR="00BA7EB1">
        <w:t xml:space="preserve">Rules with both high support and </w:t>
      </w:r>
      <w:r w:rsidR="00E45955">
        <w:t>confidence</w:t>
      </w:r>
      <w:r w:rsidR="00BA7EB1">
        <w:t xml:space="preserve"> are called </w:t>
      </w:r>
      <w:r w:rsidR="00BA7EB1">
        <w:rPr>
          <w:i/>
          <w:iCs/>
        </w:rPr>
        <w:t>strong rules</w:t>
      </w:r>
      <w:r w:rsidR="00BA7EB1">
        <w:t xml:space="preserve"> </w:t>
      </w:r>
      <w:r w:rsidR="00EB28FD">
        <w:t xml:space="preserve">and demonstrate a likely association among items. </w:t>
      </w:r>
    </w:p>
    <w:p w14:paraId="0F034846" w14:textId="77777777" w:rsidR="002A24E1" w:rsidRDefault="00EB28FD" w:rsidP="00EA6713">
      <w:pPr>
        <w:spacing w:line="360" w:lineRule="auto"/>
        <w:ind w:firstLine="0"/>
      </w:pPr>
      <w:r>
        <w:tab/>
      </w:r>
    </w:p>
    <w:p w14:paraId="77C64958" w14:textId="55BB56F1" w:rsidR="003A4EFA" w:rsidRDefault="00B5764F" w:rsidP="00EA6713">
      <w:pPr>
        <w:spacing w:line="360" w:lineRule="auto"/>
        <w:ind w:firstLine="0"/>
      </w:pPr>
      <w:r>
        <w:t xml:space="preserve">The highest support and confidence values at which we were able to generate rules with a minimum length of two items was 0.05 and 0.10, respectively. Using these parameters, we were able to generate eight rules, detailed in the table below. </w:t>
      </w:r>
    </w:p>
    <w:p w14:paraId="76F28067" w14:textId="55671251" w:rsidR="00B5764F" w:rsidRDefault="00B5764F" w:rsidP="00EA6713">
      <w:pPr>
        <w:spacing w:line="360" w:lineRule="auto"/>
        <w:ind w:firstLine="0"/>
      </w:pPr>
    </w:p>
    <w:tbl>
      <w:tblPr>
        <w:tblStyle w:val="GridTable4-Accent5"/>
        <w:tblW w:w="10741" w:type="dxa"/>
        <w:jc w:val="center"/>
        <w:tblLook w:val="04A0" w:firstRow="1" w:lastRow="0" w:firstColumn="1" w:lastColumn="0" w:noHBand="0" w:noVBand="1"/>
      </w:tblPr>
      <w:tblGrid>
        <w:gridCol w:w="3407"/>
        <w:gridCol w:w="3407"/>
        <w:gridCol w:w="1379"/>
        <w:gridCol w:w="1414"/>
        <w:gridCol w:w="1134"/>
      </w:tblGrid>
      <w:tr w:rsidR="0075537E" w14:paraId="05EECE50" w14:textId="4489C3CA" w:rsidTr="0075537E">
        <w:trPr>
          <w:cnfStyle w:val="100000000000" w:firstRow="1" w:lastRow="0" w:firstColumn="0" w:lastColumn="0" w:oddVBand="0" w:evenVBand="0" w:oddHBand="0"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25EC221" w14:textId="2042F572" w:rsidR="000C497A" w:rsidRPr="0075537E" w:rsidRDefault="000C497A" w:rsidP="00EA6713">
            <w:pPr>
              <w:spacing w:line="360" w:lineRule="auto"/>
              <w:ind w:firstLine="0"/>
              <w:jc w:val="center"/>
            </w:pPr>
            <w:r w:rsidRPr="0075537E">
              <w:t>Condition</w:t>
            </w:r>
          </w:p>
        </w:tc>
        <w:tc>
          <w:tcPr>
            <w:tcW w:w="0" w:type="auto"/>
            <w:noWrap/>
            <w:vAlign w:val="center"/>
          </w:tcPr>
          <w:p w14:paraId="784A363D" w14:textId="48A1E3CC" w:rsidR="000C497A" w:rsidRDefault="000C497A" w:rsidP="00EA6713">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Result</w:t>
            </w:r>
          </w:p>
        </w:tc>
        <w:tc>
          <w:tcPr>
            <w:tcW w:w="0" w:type="auto"/>
            <w:noWrap/>
            <w:vAlign w:val="center"/>
          </w:tcPr>
          <w:p w14:paraId="520FC296" w14:textId="502C01E4" w:rsidR="000C497A" w:rsidRDefault="000C497A" w:rsidP="00EA6713">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Support</w:t>
            </w:r>
          </w:p>
        </w:tc>
        <w:tc>
          <w:tcPr>
            <w:tcW w:w="0" w:type="auto"/>
            <w:noWrap/>
            <w:vAlign w:val="center"/>
          </w:tcPr>
          <w:p w14:paraId="41A8DB38" w14:textId="27C9B451" w:rsidR="000C497A" w:rsidRDefault="000C497A" w:rsidP="00EA6713">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Confidence</w:t>
            </w:r>
          </w:p>
        </w:tc>
        <w:tc>
          <w:tcPr>
            <w:tcW w:w="0" w:type="auto"/>
            <w:noWrap/>
            <w:vAlign w:val="center"/>
          </w:tcPr>
          <w:p w14:paraId="7428FE50" w14:textId="43BD9D4C" w:rsidR="000C497A" w:rsidRDefault="000C497A" w:rsidP="00EA6713">
            <w:pPr>
              <w:spacing w:line="360" w:lineRule="auto"/>
              <w:ind w:firstLine="0"/>
              <w:jc w:val="center"/>
              <w:cnfStyle w:val="100000000000" w:firstRow="1" w:lastRow="0" w:firstColumn="0" w:lastColumn="0" w:oddVBand="0" w:evenVBand="0" w:oddHBand="0" w:evenHBand="0" w:firstRowFirstColumn="0" w:firstRowLastColumn="0" w:lastRowFirstColumn="0" w:lastRowLastColumn="0"/>
            </w:pPr>
            <w:r>
              <w:t>Lift</w:t>
            </w:r>
          </w:p>
        </w:tc>
      </w:tr>
      <w:tr w:rsidR="0075537E" w14:paraId="5D0E591D" w14:textId="54DDF1DD" w:rsidTr="0075537E">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356D73CF" w14:textId="127D91F0" w:rsidR="000C497A" w:rsidRPr="0075537E" w:rsidRDefault="000C497A" w:rsidP="00EA6713">
            <w:pPr>
              <w:spacing w:line="360" w:lineRule="auto"/>
              <w:ind w:firstLine="0"/>
              <w:jc w:val="center"/>
              <w:rPr>
                <w:b w:val="0"/>
                <w:bCs w:val="0"/>
              </w:rPr>
            </w:pPr>
            <w:r w:rsidRPr="0075537E">
              <w:rPr>
                <w:b w:val="0"/>
                <w:bCs w:val="0"/>
              </w:rPr>
              <w:t>Dell Desktop</w:t>
            </w:r>
          </w:p>
        </w:tc>
        <w:tc>
          <w:tcPr>
            <w:tcW w:w="0" w:type="auto"/>
            <w:noWrap/>
            <w:vAlign w:val="center"/>
          </w:tcPr>
          <w:p w14:paraId="43008E23" w14:textId="2AB62480" w:rsidR="000C497A" w:rsidRDefault="000C497A"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iMac</w:t>
            </w:r>
          </w:p>
        </w:tc>
        <w:tc>
          <w:tcPr>
            <w:tcW w:w="0" w:type="auto"/>
            <w:noWrap/>
            <w:vAlign w:val="center"/>
          </w:tcPr>
          <w:p w14:paraId="0759A890" w14:textId="4AD12D4F" w:rsidR="000C497A" w:rsidRDefault="000C497A"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rsidRPr="000C497A">
              <w:t>0.05460092</w:t>
            </w:r>
          </w:p>
        </w:tc>
        <w:tc>
          <w:tcPr>
            <w:tcW w:w="0" w:type="auto"/>
            <w:noWrap/>
            <w:vAlign w:val="center"/>
          </w:tcPr>
          <w:p w14:paraId="15A4599B" w14:textId="0565F727" w:rsidR="000C497A" w:rsidRDefault="000C497A"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rsidRPr="000C497A">
              <w:t>0.4074355</w:t>
            </w:r>
          </w:p>
        </w:tc>
        <w:tc>
          <w:tcPr>
            <w:tcW w:w="0" w:type="auto"/>
            <w:noWrap/>
            <w:vAlign w:val="center"/>
          </w:tcPr>
          <w:p w14:paraId="61949E13" w14:textId="7DFEE617" w:rsidR="000C497A" w:rsidRDefault="000C497A"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rsidRPr="000C497A">
              <w:t>1.590762</w:t>
            </w:r>
          </w:p>
        </w:tc>
      </w:tr>
      <w:tr w:rsidR="00282BC2" w14:paraId="31434735" w14:textId="5F5D03C6" w:rsidTr="0075537E">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A7D8428" w14:textId="0DBBBF05" w:rsidR="00282BC2" w:rsidRPr="0075537E" w:rsidRDefault="00282BC2" w:rsidP="00EA6713">
            <w:pPr>
              <w:spacing w:line="360" w:lineRule="auto"/>
              <w:ind w:firstLine="0"/>
              <w:jc w:val="center"/>
              <w:rPr>
                <w:b w:val="0"/>
                <w:bCs w:val="0"/>
              </w:rPr>
            </w:pPr>
            <w:r>
              <w:rPr>
                <w:b w:val="0"/>
                <w:bCs w:val="0"/>
              </w:rPr>
              <w:t>iMac</w:t>
            </w:r>
          </w:p>
        </w:tc>
        <w:tc>
          <w:tcPr>
            <w:tcW w:w="0" w:type="auto"/>
            <w:noWrap/>
            <w:vAlign w:val="center"/>
          </w:tcPr>
          <w:p w14:paraId="0C43A51D" w14:textId="6DFEBEB4"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Dell Desktop</w:t>
            </w:r>
          </w:p>
        </w:tc>
        <w:tc>
          <w:tcPr>
            <w:tcW w:w="0" w:type="auto"/>
            <w:noWrap/>
            <w:vAlign w:val="center"/>
          </w:tcPr>
          <w:p w14:paraId="1A21EDF4" w14:textId="06F15A81"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0.05460092</w:t>
            </w:r>
          </w:p>
        </w:tc>
        <w:tc>
          <w:tcPr>
            <w:tcW w:w="0" w:type="auto"/>
            <w:noWrap/>
            <w:vAlign w:val="center"/>
          </w:tcPr>
          <w:p w14:paraId="22B267C2" w14:textId="2B614B31"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75537E">
              <w:t>0.2131798</w:t>
            </w:r>
          </w:p>
        </w:tc>
        <w:tc>
          <w:tcPr>
            <w:tcW w:w="0" w:type="auto"/>
            <w:noWrap/>
            <w:vAlign w:val="center"/>
          </w:tcPr>
          <w:p w14:paraId="0E669B59" w14:textId="73B63D37"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0C497A">
              <w:t>1.590762</w:t>
            </w:r>
          </w:p>
        </w:tc>
      </w:tr>
      <w:tr w:rsidR="00282BC2" w14:paraId="658BE9E3" w14:textId="205D9285" w:rsidTr="0075537E">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D0F8BE6" w14:textId="1779AC13" w:rsidR="00282BC2" w:rsidRPr="0075537E" w:rsidRDefault="00282BC2" w:rsidP="00EA6713">
            <w:pPr>
              <w:spacing w:line="360" w:lineRule="auto"/>
              <w:ind w:firstLine="0"/>
              <w:jc w:val="center"/>
              <w:rPr>
                <w:b w:val="0"/>
                <w:bCs w:val="0"/>
              </w:rPr>
            </w:pPr>
            <w:r>
              <w:rPr>
                <w:b w:val="0"/>
                <w:bCs w:val="0"/>
              </w:rPr>
              <w:t>CYBERPOWER Gamer Desktop</w:t>
            </w:r>
          </w:p>
        </w:tc>
        <w:tc>
          <w:tcPr>
            <w:tcW w:w="0" w:type="auto"/>
            <w:noWrap/>
            <w:vAlign w:val="center"/>
          </w:tcPr>
          <w:p w14:paraId="5876F9FA" w14:textId="3A846A4F"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iMac</w:t>
            </w:r>
          </w:p>
        </w:tc>
        <w:tc>
          <w:tcPr>
            <w:tcW w:w="0" w:type="auto"/>
            <w:noWrap/>
            <w:vAlign w:val="center"/>
          </w:tcPr>
          <w:p w14:paraId="6760DCBC" w14:textId="03E381DB"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0.05673615</w:t>
            </w:r>
          </w:p>
        </w:tc>
        <w:tc>
          <w:tcPr>
            <w:tcW w:w="0" w:type="auto"/>
            <w:noWrap/>
            <w:vAlign w:val="center"/>
          </w:tcPr>
          <w:p w14:paraId="0A010E3D" w14:textId="3BA940F1"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rsidRPr="0075537E">
              <w:t>0.3084577</w:t>
            </w:r>
          </w:p>
        </w:tc>
        <w:tc>
          <w:tcPr>
            <w:tcW w:w="0" w:type="auto"/>
            <w:noWrap/>
            <w:vAlign w:val="center"/>
          </w:tcPr>
          <w:p w14:paraId="40CACC29" w14:textId="5B7C9E77"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rsidRPr="00282BC2">
              <w:t>1.204320</w:t>
            </w:r>
          </w:p>
        </w:tc>
      </w:tr>
      <w:tr w:rsidR="00282BC2" w14:paraId="663B9796" w14:textId="2734ABD6" w:rsidTr="0075537E">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43989E5A" w14:textId="1D36145F" w:rsidR="00282BC2" w:rsidRPr="0075537E" w:rsidRDefault="00282BC2" w:rsidP="00EA6713">
            <w:pPr>
              <w:spacing w:line="360" w:lineRule="auto"/>
              <w:ind w:firstLine="0"/>
              <w:jc w:val="center"/>
              <w:rPr>
                <w:b w:val="0"/>
                <w:bCs w:val="0"/>
              </w:rPr>
            </w:pPr>
            <w:r>
              <w:rPr>
                <w:b w:val="0"/>
                <w:bCs w:val="0"/>
              </w:rPr>
              <w:t>iMac</w:t>
            </w:r>
          </w:p>
        </w:tc>
        <w:tc>
          <w:tcPr>
            <w:tcW w:w="0" w:type="auto"/>
            <w:noWrap/>
            <w:vAlign w:val="center"/>
          </w:tcPr>
          <w:p w14:paraId="50FFCA52" w14:textId="0508F6E6"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CYBERPOWER Gamer Desktop</w:t>
            </w:r>
          </w:p>
        </w:tc>
        <w:tc>
          <w:tcPr>
            <w:tcW w:w="0" w:type="auto"/>
            <w:noWrap/>
            <w:vAlign w:val="center"/>
          </w:tcPr>
          <w:p w14:paraId="00018DA6" w14:textId="55FAEA01"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0.05673615</w:t>
            </w:r>
          </w:p>
        </w:tc>
        <w:tc>
          <w:tcPr>
            <w:tcW w:w="0" w:type="auto"/>
            <w:noWrap/>
            <w:vAlign w:val="center"/>
          </w:tcPr>
          <w:p w14:paraId="56A3D552" w14:textId="2B0CD92A"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75537E">
              <w:t>0.2215165</w:t>
            </w:r>
          </w:p>
        </w:tc>
        <w:tc>
          <w:tcPr>
            <w:tcW w:w="0" w:type="auto"/>
            <w:noWrap/>
            <w:vAlign w:val="center"/>
          </w:tcPr>
          <w:p w14:paraId="2AB0FB86" w14:textId="5EA181CF"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282BC2">
              <w:t>1.204320</w:t>
            </w:r>
          </w:p>
        </w:tc>
      </w:tr>
      <w:tr w:rsidR="00282BC2" w14:paraId="1595BCA7" w14:textId="16F6CC2D" w:rsidTr="0075537E">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1733334E" w14:textId="60675466" w:rsidR="00282BC2" w:rsidRPr="0075537E" w:rsidRDefault="00282BC2" w:rsidP="00EA6713">
            <w:pPr>
              <w:spacing w:line="360" w:lineRule="auto"/>
              <w:ind w:firstLine="0"/>
              <w:jc w:val="center"/>
              <w:rPr>
                <w:b w:val="0"/>
                <w:bCs w:val="0"/>
              </w:rPr>
            </w:pPr>
            <w:r>
              <w:rPr>
                <w:b w:val="0"/>
                <w:bCs w:val="0"/>
              </w:rPr>
              <w:t>Lenovo Desktop Computer</w:t>
            </w:r>
          </w:p>
        </w:tc>
        <w:tc>
          <w:tcPr>
            <w:tcW w:w="0" w:type="auto"/>
            <w:noWrap/>
            <w:vAlign w:val="center"/>
          </w:tcPr>
          <w:p w14:paraId="2243FAB3" w14:textId="27817C84"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iMac</w:t>
            </w:r>
          </w:p>
        </w:tc>
        <w:tc>
          <w:tcPr>
            <w:tcW w:w="0" w:type="auto"/>
            <w:noWrap/>
            <w:vAlign w:val="center"/>
          </w:tcPr>
          <w:p w14:paraId="24F563D2" w14:textId="0CDF89CB"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0.05876970</w:t>
            </w:r>
          </w:p>
        </w:tc>
        <w:tc>
          <w:tcPr>
            <w:tcW w:w="0" w:type="auto"/>
            <w:noWrap/>
            <w:vAlign w:val="center"/>
          </w:tcPr>
          <w:p w14:paraId="75032B01" w14:textId="1F06B5A8"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rsidRPr="0075537E">
              <w:t>0.3969780</w:t>
            </w:r>
          </w:p>
        </w:tc>
        <w:tc>
          <w:tcPr>
            <w:tcW w:w="0" w:type="auto"/>
            <w:noWrap/>
            <w:vAlign w:val="center"/>
          </w:tcPr>
          <w:p w14:paraId="1503A4C1" w14:textId="791597BA"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rsidRPr="00282BC2">
              <w:t>1.549932</w:t>
            </w:r>
          </w:p>
        </w:tc>
      </w:tr>
      <w:tr w:rsidR="00282BC2" w14:paraId="481F3E60" w14:textId="0E6C6BE0" w:rsidTr="0075537E">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2C730CBD" w14:textId="136A7432" w:rsidR="00282BC2" w:rsidRPr="0075537E" w:rsidRDefault="00282BC2" w:rsidP="00EA6713">
            <w:pPr>
              <w:spacing w:line="360" w:lineRule="auto"/>
              <w:ind w:firstLine="0"/>
              <w:jc w:val="center"/>
              <w:rPr>
                <w:b w:val="0"/>
                <w:bCs w:val="0"/>
              </w:rPr>
            </w:pPr>
            <w:r>
              <w:rPr>
                <w:b w:val="0"/>
                <w:bCs w:val="0"/>
              </w:rPr>
              <w:t>iMac</w:t>
            </w:r>
          </w:p>
        </w:tc>
        <w:tc>
          <w:tcPr>
            <w:tcW w:w="0" w:type="auto"/>
            <w:noWrap/>
            <w:vAlign w:val="center"/>
          </w:tcPr>
          <w:p w14:paraId="54BC7FBB" w14:textId="3260004D"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Lenovo Desktop Computer</w:t>
            </w:r>
          </w:p>
        </w:tc>
        <w:tc>
          <w:tcPr>
            <w:tcW w:w="0" w:type="auto"/>
            <w:noWrap/>
            <w:vAlign w:val="center"/>
          </w:tcPr>
          <w:p w14:paraId="5E7D174D" w14:textId="7D087EFC"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0.05876970</w:t>
            </w:r>
          </w:p>
        </w:tc>
        <w:tc>
          <w:tcPr>
            <w:tcW w:w="0" w:type="auto"/>
            <w:noWrap/>
            <w:vAlign w:val="center"/>
          </w:tcPr>
          <w:p w14:paraId="7FF3D42A" w14:textId="6AD9E192"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75537E">
              <w:t>0.2294561</w:t>
            </w:r>
          </w:p>
        </w:tc>
        <w:tc>
          <w:tcPr>
            <w:tcW w:w="0" w:type="auto"/>
            <w:noWrap/>
            <w:vAlign w:val="center"/>
          </w:tcPr>
          <w:p w14:paraId="70732EB6" w14:textId="3B50519B"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282BC2">
              <w:t>1.549932</w:t>
            </w:r>
          </w:p>
        </w:tc>
      </w:tr>
      <w:tr w:rsidR="00282BC2" w14:paraId="0104219A" w14:textId="4961B012" w:rsidTr="0075537E">
        <w:trPr>
          <w:cnfStyle w:val="000000100000" w:firstRow="0" w:lastRow="0" w:firstColumn="0" w:lastColumn="0" w:oddVBand="0" w:evenVBand="0" w:oddHBand="1" w:evenHBand="0" w:firstRowFirstColumn="0" w:firstRowLastColumn="0" w:lastRowFirstColumn="0" w:lastRowLastColumn="0"/>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71A8D119" w14:textId="7F867D4A" w:rsidR="00282BC2" w:rsidRPr="0075537E" w:rsidRDefault="00282BC2" w:rsidP="00EA6713">
            <w:pPr>
              <w:spacing w:line="360" w:lineRule="auto"/>
              <w:ind w:firstLine="0"/>
              <w:jc w:val="center"/>
              <w:rPr>
                <w:b w:val="0"/>
                <w:bCs w:val="0"/>
              </w:rPr>
            </w:pPr>
            <w:r>
              <w:rPr>
                <w:b w:val="0"/>
                <w:bCs w:val="0"/>
              </w:rPr>
              <w:t>HP Laptop</w:t>
            </w:r>
          </w:p>
        </w:tc>
        <w:tc>
          <w:tcPr>
            <w:tcW w:w="0" w:type="auto"/>
            <w:noWrap/>
            <w:vAlign w:val="center"/>
          </w:tcPr>
          <w:p w14:paraId="746A9F52" w14:textId="4A5F310A"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iMac</w:t>
            </w:r>
          </w:p>
        </w:tc>
        <w:tc>
          <w:tcPr>
            <w:tcW w:w="0" w:type="auto"/>
            <w:noWrap/>
            <w:vAlign w:val="center"/>
          </w:tcPr>
          <w:p w14:paraId="396EF4B7" w14:textId="708AD0AB"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t>0.07554652</w:t>
            </w:r>
          </w:p>
        </w:tc>
        <w:tc>
          <w:tcPr>
            <w:tcW w:w="0" w:type="auto"/>
            <w:noWrap/>
            <w:vAlign w:val="center"/>
          </w:tcPr>
          <w:p w14:paraId="70AEE7EB" w14:textId="2CA3B060"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rsidRPr="0075537E">
              <w:t>0.3892090</w:t>
            </w:r>
          </w:p>
        </w:tc>
        <w:tc>
          <w:tcPr>
            <w:tcW w:w="0" w:type="auto"/>
            <w:noWrap/>
            <w:vAlign w:val="center"/>
          </w:tcPr>
          <w:p w14:paraId="43AC7376" w14:textId="23D8C7AD" w:rsidR="00282BC2" w:rsidRDefault="00282BC2" w:rsidP="00EA6713">
            <w:pPr>
              <w:spacing w:line="360" w:lineRule="auto"/>
              <w:ind w:firstLine="0"/>
              <w:jc w:val="center"/>
              <w:cnfStyle w:val="000000100000" w:firstRow="0" w:lastRow="0" w:firstColumn="0" w:lastColumn="0" w:oddVBand="0" w:evenVBand="0" w:oddHBand="1" w:evenHBand="0" w:firstRowFirstColumn="0" w:firstRowLastColumn="0" w:lastRowFirstColumn="0" w:lastRowLastColumn="0"/>
            </w:pPr>
            <w:r w:rsidRPr="00282BC2">
              <w:t>1.519599</w:t>
            </w:r>
          </w:p>
        </w:tc>
      </w:tr>
      <w:tr w:rsidR="00282BC2" w14:paraId="7AA7F011" w14:textId="77777777" w:rsidTr="0075537E">
        <w:trPr>
          <w:trHeight w:hRule="exact" w:val="432"/>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tcPr>
          <w:p w14:paraId="02EB6519" w14:textId="55811373" w:rsidR="00282BC2" w:rsidRPr="0075537E" w:rsidRDefault="00282BC2" w:rsidP="00EA6713">
            <w:pPr>
              <w:spacing w:line="360" w:lineRule="auto"/>
              <w:ind w:firstLine="0"/>
              <w:jc w:val="center"/>
              <w:rPr>
                <w:b w:val="0"/>
                <w:bCs w:val="0"/>
              </w:rPr>
            </w:pPr>
            <w:r>
              <w:rPr>
                <w:b w:val="0"/>
                <w:bCs w:val="0"/>
              </w:rPr>
              <w:t>iMac</w:t>
            </w:r>
          </w:p>
        </w:tc>
        <w:tc>
          <w:tcPr>
            <w:tcW w:w="0" w:type="auto"/>
            <w:noWrap/>
            <w:vAlign w:val="center"/>
          </w:tcPr>
          <w:p w14:paraId="1B92212A" w14:textId="7D8B02CD"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HP Laptop</w:t>
            </w:r>
          </w:p>
        </w:tc>
        <w:tc>
          <w:tcPr>
            <w:tcW w:w="0" w:type="auto"/>
            <w:noWrap/>
            <w:vAlign w:val="center"/>
          </w:tcPr>
          <w:p w14:paraId="500EFAC3" w14:textId="58CDD59F"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t>0.07554652</w:t>
            </w:r>
          </w:p>
        </w:tc>
        <w:tc>
          <w:tcPr>
            <w:tcW w:w="0" w:type="auto"/>
            <w:noWrap/>
            <w:vAlign w:val="center"/>
          </w:tcPr>
          <w:p w14:paraId="69B6E5A7" w14:textId="54714C80"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282BC2">
              <w:t>0.2949583</w:t>
            </w:r>
          </w:p>
        </w:tc>
        <w:tc>
          <w:tcPr>
            <w:tcW w:w="0" w:type="auto"/>
            <w:noWrap/>
            <w:vAlign w:val="center"/>
          </w:tcPr>
          <w:p w14:paraId="28951734" w14:textId="4E744AB0" w:rsidR="00282BC2" w:rsidRDefault="00282BC2" w:rsidP="00EA6713">
            <w:pPr>
              <w:spacing w:line="360" w:lineRule="auto"/>
              <w:ind w:firstLine="0"/>
              <w:jc w:val="center"/>
              <w:cnfStyle w:val="000000000000" w:firstRow="0" w:lastRow="0" w:firstColumn="0" w:lastColumn="0" w:oddVBand="0" w:evenVBand="0" w:oddHBand="0" w:evenHBand="0" w:firstRowFirstColumn="0" w:firstRowLastColumn="0" w:lastRowFirstColumn="0" w:lastRowLastColumn="0"/>
            </w:pPr>
            <w:r w:rsidRPr="00282BC2">
              <w:t>1.519599</w:t>
            </w:r>
          </w:p>
        </w:tc>
      </w:tr>
    </w:tbl>
    <w:p w14:paraId="3BBB7133" w14:textId="081F2A31" w:rsidR="003A4EFA" w:rsidRDefault="003A4EFA" w:rsidP="00EA6713">
      <w:pPr>
        <w:spacing w:line="360" w:lineRule="auto"/>
        <w:ind w:firstLine="0"/>
        <w:jc w:val="center"/>
        <w:rPr>
          <w:noProof/>
        </w:rPr>
      </w:pPr>
    </w:p>
    <w:p w14:paraId="6D5E45D6" w14:textId="36C9E5CC" w:rsidR="003A4EFA" w:rsidRDefault="003A4EFA" w:rsidP="00EA6713">
      <w:pPr>
        <w:spacing w:line="360" w:lineRule="auto"/>
        <w:ind w:firstLine="0"/>
        <w:jc w:val="center"/>
      </w:pPr>
    </w:p>
    <w:p w14:paraId="6D9247CE" w14:textId="5D4DF4E8" w:rsidR="003A4EFA" w:rsidRPr="00823081" w:rsidRDefault="00282BC2" w:rsidP="00EA6713">
      <w:pPr>
        <w:spacing w:line="360" w:lineRule="auto"/>
        <w:ind w:firstLine="0"/>
      </w:pPr>
      <w:r>
        <w:t xml:space="preserve">The figure </w:t>
      </w:r>
      <w:r w:rsidR="00EA6713">
        <w:t>on the next page</w:t>
      </w:r>
      <w:r>
        <w:t xml:space="preserve"> illustrates our transaction rules graphically, where the color density indicates the confidence of the rule.</w:t>
      </w:r>
      <w:r w:rsidR="00823081">
        <w:t xml:space="preserve"> Our strongest rule is that if a customer purchases a Dell Desktop, they will also purchase an iMac. We can infer this from 5% of the transaction data with 40% accuracy. Conversely, 5% of the data demonstrate that if a customer purchases an iMac, they are likely to purchase a Dell Desktop. However, we can only say this with 21% confidence. Given the low support values and low-to-moderate confidence values, our team would not classify these rules as </w:t>
      </w:r>
      <w:r w:rsidR="00823081">
        <w:rPr>
          <w:i/>
          <w:iCs/>
        </w:rPr>
        <w:t>strong</w:t>
      </w:r>
      <w:r w:rsidR="00823081">
        <w:t xml:space="preserve"> rules. </w:t>
      </w:r>
      <w:r w:rsidR="00823081" w:rsidRPr="00823081">
        <w:t xml:space="preserve">Therefore, from a business perspective, we’ve determined that this </w:t>
      </w:r>
      <w:proofErr w:type="spellStart"/>
      <w:r w:rsidR="00823081" w:rsidRPr="00823081">
        <w:t>Electronidex</w:t>
      </w:r>
      <w:proofErr w:type="spellEnd"/>
      <w:r w:rsidR="00823081" w:rsidRPr="00823081">
        <w:t xml:space="preserve"> data demonstrates </w:t>
      </w:r>
      <w:r w:rsidR="00823081">
        <w:t>very little</w:t>
      </w:r>
      <w:r w:rsidR="00823081" w:rsidRPr="00823081">
        <w:t xml:space="preserve"> business value to our company from an association perspective. Our Board may consider requesting additional data when available in the case that other product associations may become apparent. Absent any clear benefit from </w:t>
      </w:r>
      <w:proofErr w:type="spellStart"/>
      <w:r w:rsidR="00823081" w:rsidRPr="00823081">
        <w:t>Electronidex</w:t>
      </w:r>
      <w:proofErr w:type="spellEnd"/>
      <w:r w:rsidR="00823081" w:rsidRPr="00823081">
        <w:t xml:space="preserve"> from an item association perspective, the Board may want to consider the types of items sold by </w:t>
      </w:r>
      <w:proofErr w:type="spellStart"/>
      <w:r w:rsidR="00823081" w:rsidRPr="00823081">
        <w:t>Electronidex</w:t>
      </w:r>
      <w:proofErr w:type="spellEnd"/>
      <w:r w:rsidR="00823081" w:rsidRPr="00823081">
        <w:t xml:space="preserve">, </w:t>
      </w:r>
      <w:proofErr w:type="gramStart"/>
      <w:r w:rsidR="00823081" w:rsidRPr="00823081">
        <w:t>whether or not</w:t>
      </w:r>
      <w:proofErr w:type="gramEnd"/>
      <w:r w:rsidR="00823081" w:rsidRPr="00823081">
        <w:t xml:space="preserve"> they overlap with our current inventory, and if their sales volume outpaces ours in certain categories.</w:t>
      </w:r>
    </w:p>
    <w:p w14:paraId="7FADDEEA" w14:textId="08196B0C" w:rsidR="003A4EFA" w:rsidRDefault="003A4EFA" w:rsidP="00EA6713">
      <w:pPr>
        <w:spacing w:line="360" w:lineRule="auto"/>
        <w:ind w:firstLine="0"/>
      </w:pPr>
    </w:p>
    <w:p w14:paraId="5BA5ADEF" w14:textId="522C6487" w:rsidR="003A4EFA" w:rsidRDefault="00282BC2" w:rsidP="00EA6713">
      <w:pPr>
        <w:spacing w:line="360" w:lineRule="auto"/>
        <w:ind w:firstLine="0"/>
      </w:pPr>
      <w:r>
        <w:rPr>
          <w:noProof/>
        </w:rPr>
        <w:lastRenderedPageBreak/>
        <w:drawing>
          <wp:anchor distT="0" distB="0" distL="114300" distR="114300" simplePos="0" relativeHeight="251661312" behindDoc="0" locked="0" layoutInCell="1" allowOverlap="1" wp14:anchorId="3773A73A" wp14:editId="7738C001">
            <wp:simplePos x="0" y="0"/>
            <wp:positionH relativeFrom="column">
              <wp:posOffset>515831</wp:posOffset>
            </wp:positionH>
            <wp:positionV relativeFrom="paragraph">
              <wp:posOffset>0</wp:posOffset>
            </wp:positionV>
            <wp:extent cx="5054600" cy="4453255"/>
            <wp:effectExtent l="0" t="0" r="0" b="4445"/>
            <wp:wrapTight wrapText="bothSides">
              <wp:wrapPolygon edited="0">
                <wp:start x="0" y="0"/>
                <wp:lineTo x="0" y="21529"/>
                <wp:lineTo x="21491" y="21529"/>
                <wp:lineTo x="2149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a:srcRect b="1276"/>
                    <a:stretch/>
                  </pic:blipFill>
                  <pic:spPr bwMode="auto">
                    <a:xfrm>
                      <a:off x="0" y="0"/>
                      <a:ext cx="5054600" cy="445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8D3A8B" w14:textId="47928C59" w:rsidR="003A4EFA" w:rsidRDefault="003A4EFA" w:rsidP="00EA6713">
      <w:pPr>
        <w:spacing w:line="360" w:lineRule="auto"/>
        <w:ind w:firstLine="0"/>
      </w:pPr>
    </w:p>
    <w:p w14:paraId="3892A2C7" w14:textId="60674DCC" w:rsidR="001E29EA" w:rsidRDefault="00E45955" w:rsidP="00EA6713">
      <w:pPr>
        <w:spacing w:line="360" w:lineRule="auto"/>
        <w:ind w:firstLine="0"/>
      </w:pPr>
      <w:r>
        <w:tab/>
      </w:r>
      <w:r w:rsidR="00C16136">
        <w:t xml:space="preserve"> </w:t>
      </w:r>
    </w:p>
    <w:p w14:paraId="3DFB1038" w14:textId="7EB2D66C" w:rsidR="00E45955" w:rsidRDefault="00E45955" w:rsidP="00EA6713">
      <w:pPr>
        <w:spacing w:line="360" w:lineRule="auto"/>
      </w:pPr>
    </w:p>
    <w:p w14:paraId="1C8E8ED5" w14:textId="75EC1405" w:rsidR="00CA3C5D" w:rsidRDefault="00CA3C5D" w:rsidP="00EA6713">
      <w:pPr>
        <w:spacing w:line="360" w:lineRule="auto"/>
      </w:pPr>
    </w:p>
    <w:p w14:paraId="1E47E5B8" w14:textId="77777777" w:rsidR="00EA6713" w:rsidRDefault="00EA6713" w:rsidP="00EA6713">
      <w:pPr>
        <w:spacing w:line="360" w:lineRule="auto"/>
        <w:ind w:firstLine="0"/>
      </w:pPr>
    </w:p>
    <w:p w14:paraId="2C3D0CF3" w14:textId="77777777" w:rsidR="00EA6713" w:rsidRDefault="00EA6713" w:rsidP="00EA6713">
      <w:pPr>
        <w:spacing w:line="360" w:lineRule="auto"/>
        <w:ind w:firstLine="0"/>
      </w:pPr>
    </w:p>
    <w:p w14:paraId="0B02314B" w14:textId="77777777" w:rsidR="00EA6713" w:rsidRDefault="00EA6713" w:rsidP="00EA6713">
      <w:pPr>
        <w:spacing w:line="360" w:lineRule="auto"/>
        <w:ind w:firstLine="0"/>
      </w:pPr>
    </w:p>
    <w:p w14:paraId="535488E3" w14:textId="77777777" w:rsidR="00EA6713" w:rsidRDefault="00EA6713" w:rsidP="00EA6713">
      <w:pPr>
        <w:spacing w:line="360" w:lineRule="auto"/>
        <w:ind w:firstLine="0"/>
      </w:pPr>
    </w:p>
    <w:p w14:paraId="3D0AF952" w14:textId="77777777" w:rsidR="00EA6713" w:rsidRDefault="00EA6713" w:rsidP="00EA6713">
      <w:pPr>
        <w:spacing w:line="360" w:lineRule="auto"/>
        <w:ind w:firstLine="0"/>
      </w:pPr>
    </w:p>
    <w:p w14:paraId="7B58BC43" w14:textId="77777777" w:rsidR="00EA6713" w:rsidRDefault="00EA6713" w:rsidP="00EA6713">
      <w:pPr>
        <w:spacing w:line="360" w:lineRule="auto"/>
        <w:ind w:firstLine="0"/>
      </w:pPr>
    </w:p>
    <w:p w14:paraId="7D9C226E" w14:textId="77777777" w:rsidR="00EA6713" w:rsidRDefault="00EA6713" w:rsidP="00EA6713">
      <w:pPr>
        <w:spacing w:line="360" w:lineRule="auto"/>
        <w:ind w:firstLine="0"/>
      </w:pPr>
    </w:p>
    <w:p w14:paraId="15F6510C" w14:textId="77777777" w:rsidR="00EA6713" w:rsidRDefault="00EA6713" w:rsidP="00EA6713">
      <w:pPr>
        <w:spacing w:line="360" w:lineRule="auto"/>
        <w:ind w:firstLine="0"/>
      </w:pPr>
    </w:p>
    <w:p w14:paraId="1F8BA7C0" w14:textId="77777777" w:rsidR="00EA6713" w:rsidRDefault="00EA6713" w:rsidP="00EA6713">
      <w:pPr>
        <w:spacing w:line="360" w:lineRule="auto"/>
        <w:ind w:firstLine="0"/>
      </w:pPr>
    </w:p>
    <w:p w14:paraId="1AF360E3" w14:textId="77777777" w:rsidR="00EA6713" w:rsidRDefault="00EA6713" w:rsidP="00EA6713">
      <w:pPr>
        <w:spacing w:line="360" w:lineRule="auto"/>
        <w:ind w:firstLine="0"/>
      </w:pPr>
    </w:p>
    <w:p w14:paraId="66153300" w14:textId="77777777" w:rsidR="00EA6713" w:rsidRDefault="00EA6713" w:rsidP="00EA6713">
      <w:pPr>
        <w:spacing w:line="360" w:lineRule="auto"/>
        <w:ind w:firstLine="0"/>
      </w:pPr>
    </w:p>
    <w:p w14:paraId="320941E4" w14:textId="77777777" w:rsidR="00EA6713" w:rsidRDefault="00EA6713" w:rsidP="00EA6713">
      <w:pPr>
        <w:spacing w:line="360" w:lineRule="auto"/>
        <w:ind w:firstLine="0"/>
      </w:pPr>
    </w:p>
    <w:p w14:paraId="0FD5342C" w14:textId="77777777" w:rsidR="00EA6713" w:rsidRDefault="00EA6713" w:rsidP="00EA6713">
      <w:pPr>
        <w:spacing w:line="360" w:lineRule="auto"/>
        <w:ind w:firstLine="0"/>
      </w:pPr>
    </w:p>
    <w:p w14:paraId="703D7156" w14:textId="77777777" w:rsidR="00EA6713" w:rsidRDefault="00EA6713" w:rsidP="00EA6713">
      <w:pPr>
        <w:spacing w:line="360" w:lineRule="auto"/>
        <w:ind w:firstLine="0"/>
      </w:pPr>
    </w:p>
    <w:p w14:paraId="17D0B7E5" w14:textId="77777777" w:rsidR="00EA6713" w:rsidRDefault="00EA6713" w:rsidP="00EA6713">
      <w:pPr>
        <w:spacing w:line="360" w:lineRule="auto"/>
        <w:ind w:firstLine="0"/>
      </w:pPr>
    </w:p>
    <w:p w14:paraId="490FC030" w14:textId="77777777" w:rsidR="00EA6713" w:rsidRDefault="00EA6713" w:rsidP="00EA6713">
      <w:pPr>
        <w:spacing w:line="360" w:lineRule="auto"/>
        <w:ind w:firstLine="0"/>
      </w:pPr>
    </w:p>
    <w:p w14:paraId="26CF0F1C" w14:textId="77777777" w:rsidR="00EA6713" w:rsidRDefault="00EA6713" w:rsidP="00EA6713">
      <w:pPr>
        <w:spacing w:line="360" w:lineRule="auto"/>
        <w:ind w:firstLine="0"/>
      </w:pPr>
    </w:p>
    <w:p w14:paraId="201351E0" w14:textId="205698AB" w:rsidR="00FD3533" w:rsidRDefault="00FD3533" w:rsidP="00EA6713">
      <w:pPr>
        <w:spacing w:line="360" w:lineRule="auto"/>
        <w:ind w:firstLine="0"/>
      </w:pPr>
      <w:r>
        <w:t>Respectfully,</w:t>
      </w:r>
    </w:p>
    <w:p w14:paraId="352B9198" w14:textId="77777777" w:rsidR="00EA6713" w:rsidRDefault="00EA6713" w:rsidP="00EA6713">
      <w:pPr>
        <w:spacing w:line="360" w:lineRule="auto"/>
        <w:ind w:firstLine="0"/>
      </w:pPr>
    </w:p>
    <w:p w14:paraId="17B71E2D" w14:textId="45B4C4BD" w:rsidR="00FD3533" w:rsidRDefault="00FD3533" w:rsidP="00EA6713">
      <w:pPr>
        <w:spacing w:line="360" w:lineRule="auto"/>
        <w:ind w:firstLine="0"/>
      </w:pPr>
      <w:r>
        <w:t>Kate Koebbe</w:t>
      </w:r>
    </w:p>
    <w:p w14:paraId="325E96F0" w14:textId="4A1B79D8" w:rsidR="004C0CB2" w:rsidRDefault="00FD3533" w:rsidP="00EA6713">
      <w:pPr>
        <w:spacing w:line="360" w:lineRule="auto"/>
        <w:ind w:firstLine="0"/>
      </w:pPr>
      <w:r>
        <w:t>Data Analyst</w:t>
      </w:r>
      <w:r w:rsidR="004C0CB2">
        <w:t xml:space="preserve"> </w:t>
      </w:r>
    </w:p>
    <w:p w14:paraId="52E685A9" w14:textId="66DD83E4" w:rsidR="003019A4" w:rsidRPr="003019A4" w:rsidRDefault="00FD3533" w:rsidP="00EA6713">
      <w:pPr>
        <w:spacing w:line="360" w:lineRule="auto"/>
        <w:ind w:firstLine="0"/>
      </w:pPr>
      <w:r>
        <w:t xml:space="preserve">Blackwell Electronics </w:t>
      </w:r>
    </w:p>
    <w:sectPr w:rsidR="003019A4" w:rsidRPr="003019A4" w:rsidSect="00EA6713">
      <w:footerReference w:type="even" r:id="rId10"/>
      <w:pgSz w:w="12240" w:h="15840" w:code="1"/>
      <w:pgMar w:top="720" w:right="1080" w:bottom="72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AE41B" w14:textId="77777777" w:rsidR="00C3478D" w:rsidRDefault="00C3478D" w:rsidP="00785540">
      <w:r>
        <w:separator/>
      </w:r>
    </w:p>
  </w:endnote>
  <w:endnote w:type="continuationSeparator" w:id="0">
    <w:p w14:paraId="5DCDD23A" w14:textId="77777777" w:rsidR="00C3478D" w:rsidRDefault="00C3478D" w:rsidP="00785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ADA8" w14:textId="77777777" w:rsidR="00202988"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10AFCD4B" w14:textId="77777777" w:rsidR="00202988" w:rsidRDefault="00202988">
    <w:pPr>
      <w:pStyle w:val="Footer"/>
    </w:pPr>
  </w:p>
  <w:p w14:paraId="43635FC2" w14:textId="77777777" w:rsidR="00202988" w:rsidRDefault="002029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22373" w14:textId="77777777" w:rsidR="00C3478D" w:rsidRDefault="00C3478D" w:rsidP="00785540">
      <w:r>
        <w:separator/>
      </w:r>
    </w:p>
  </w:footnote>
  <w:footnote w:type="continuationSeparator" w:id="0">
    <w:p w14:paraId="2B29324B" w14:textId="77777777" w:rsidR="00C3478D" w:rsidRDefault="00C3478D" w:rsidP="007855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B04E5"/>
    <w:multiLevelType w:val="multilevel"/>
    <w:tmpl w:val="EDD2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F319A"/>
    <w:multiLevelType w:val="multilevel"/>
    <w:tmpl w:val="205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21"/>
  </w:num>
  <w:num w:numId="3">
    <w:abstractNumId w:val="19"/>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6"/>
  </w:num>
  <w:num w:numId="16">
    <w:abstractNumId w:val="24"/>
  </w:num>
  <w:num w:numId="17">
    <w:abstractNumId w:val="23"/>
  </w:num>
  <w:num w:numId="18">
    <w:abstractNumId w:val="18"/>
  </w:num>
  <w:num w:numId="19">
    <w:abstractNumId w:val="20"/>
  </w:num>
  <w:num w:numId="20">
    <w:abstractNumId w:val="12"/>
  </w:num>
  <w:num w:numId="21">
    <w:abstractNumId w:val="14"/>
  </w:num>
  <w:num w:numId="22">
    <w:abstractNumId w:val="13"/>
  </w:num>
  <w:num w:numId="23">
    <w:abstractNumId w:val="15"/>
  </w:num>
  <w:num w:numId="24">
    <w:abstractNumId w:val="25"/>
  </w:num>
  <w:num w:numId="25">
    <w:abstractNumId w:val="10"/>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4C"/>
    <w:rsid w:val="0001679E"/>
    <w:rsid w:val="00046DA6"/>
    <w:rsid w:val="000A1F6F"/>
    <w:rsid w:val="000C245D"/>
    <w:rsid w:val="000C497A"/>
    <w:rsid w:val="000D53BA"/>
    <w:rsid w:val="000D70E4"/>
    <w:rsid w:val="000E24B9"/>
    <w:rsid w:val="000F2796"/>
    <w:rsid w:val="000F282C"/>
    <w:rsid w:val="00100F96"/>
    <w:rsid w:val="00110C27"/>
    <w:rsid w:val="00137FB0"/>
    <w:rsid w:val="00142FD0"/>
    <w:rsid w:val="0014581A"/>
    <w:rsid w:val="00146590"/>
    <w:rsid w:val="00153556"/>
    <w:rsid w:val="001708F1"/>
    <w:rsid w:val="001E29EA"/>
    <w:rsid w:val="00202988"/>
    <w:rsid w:val="00227276"/>
    <w:rsid w:val="002328C4"/>
    <w:rsid w:val="00274CF9"/>
    <w:rsid w:val="00282BC2"/>
    <w:rsid w:val="00293B83"/>
    <w:rsid w:val="002A1562"/>
    <w:rsid w:val="002A24E1"/>
    <w:rsid w:val="002B53E4"/>
    <w:rsid w:val="002D4832"/>
    <w:rsid w:val="002E73BB"/>
    <w:rsid w:val="002F09C0"/>
    <w:rsid w:val="003019A4"/>
    <w:rsid w:val="00323FCE"/>
    <w:rsid w:val="0034439F"/>
    <w:rsid w:val="003604AB"/>
    <w:rsid w:val="00360C7C"/>
    <w:rsid w:val="00397127"/>
    <w:rsid w:val="003A4EFA"/>
    <w:rsid w:val="003B20A5"/>
    <w:rsid w:val="003C1B5E"/>
    <w:rsid w:val="004108B3"/>
    <w:rsid w:val="00426895"/>
    <w:rsid w:val="0049252D"/>
    <w:rsid w:val="004A37D8"/>
    <w:rsid w:val="004A46FA"/>
    <w:rsid w:val="004B7D91"/>
    <w:rsid w:val="004C0CB2"/>
    <w:rsid w:val="004C5811"/>
    <w:rsid w:val="004F6F63"/>
    <w:rsid w:val="00532DB9"/>
    <w:rsid w:val="0053572F"/>
    <w:rsid w:val="0054058B"/>
    <w:rsid w:val="00540B1D"/>
    <w:rsid w:val="0055583C"/>
    <w:rsid w:val="0056352B"/>
    <w:rsid w:val="00595B62"/>
    <w:rsid w:val="005B7EF9"/>
    <w:rsid w:val="005D1090"/>
    <w:rsid w:val="005D2930"/>
    <w:rsid w:val="006011E2"/>
    <w:rsid w:val="00643884"/>
    <w:rsid w:val="00666EA5"/>
    <w:rsid w:val="00693948"/>
    <w:rsid w:val="00693988"/>
    <w:rsid w:val="00697389"/>
    <w:rsid w:val="006A0D76"/>
    <w:rsid w:val="006A3CE7"/>
    <w:rsid w:val="00700A30"/>
    <w:rsid w:val="00702208"/>
    <w:rsid w:val="0070517A"/>
    <w:rsid w:val="00745326"/>
    <w:rsid w:val="0075537E"/>
    <w:rsid w:val="00785540"/>
    <w:rsid w:val="007B3627"/>
    <w:rsid w:val="007B5BAC"/>
    <w:rsid w:val="007C2B2D"/>
    <w:rsid w:val="0081654D"/>
    <w:rsid w:val="00823081"/>
    <w:rsid w:val="00826964"/>
    <w:rsid w:val="0088144D"/>
    <w:rsid w:val="008947B9"/>
    <w:rsid w:val="008A0F29"/>
    <w:rsid w:val="008C656B"/>
    <w:rsid w:val="008D4FBE"/>
    <w:rsid w:val="008D650B"/>
    <w:rsid w:val="00904C9E"/>
    <w:rsid w:val="0092635D"/>
    <w:rsid w:val="00931353"/>
    <w:rsid w:val="00933B8F"/>
    <w:rsid w:val="00966F56"/>
    <w:rsid w:val="00967CF7"/>
    <w:rsid w:val="009807BE"/>
    <w:rsid w:val="009876C0"/>
    <w:rsid w:val="009A3593"/>
    <w:rsid w:val="00A117A7"/>
    <w:rsid w:val="00A279BC"/>
    <w:rsid w:val="00A3268C"/>
    <w:rsid w:val="00A411E7"/>
    <w:rsid w:val="00A91AD3"/>
    <w:rsid w:val="00A9356D"/>
    <w:rsid w:val="00A947D3"/>
    <w:rsid w:val="00AA5B20"/>
    <w:rsid w:val="00AA75FF"/>
    <w:rsid w:val="00AD542B"/>
    <w:rsid w:val="00B0163E"/>
    <w:rsid w:val="00B1284A"/>
    <w:rsid w:val="00B1404F"/>
    <w:rsid w:val="00B35FAE"/>
    <w:rsid w:val="00B5764F"/>
    <w:rsid w:val="00B612AA"/>
    <w:rsid w:val="00B62D2D"/>
    <w:rsid w:val="00B8258E"/>
    <w:rsid w:val="00BA7611"/>
    <w:rsid w:val="00BA7EB1"/>
    <w:rsid w:val="00BB14F8"/>
    <w:rsid w:val="00C16136"/>
    <w:rsid w:val="00C3478D"/>
    <w:rsid w:val="00C62C63"/>
    <w:rsid w:val="00CA1B90"/>
    <w:rsid w:val="00CA3C5D"/>
    <w:rsid w:val="00CA3ECF"/>
    <w:rsid w:val="00CA530C"/>
    <w:rsid w:val="00CF1CD0"/>
    <w:rsid w:val="00D14514"/>
    <w:rsid w:val="00D25196"/>
    <w:rsid w:val="00D53F4F"/>
    <w:rsid w:val="00D814AF"/>
    <w:rsid w:val="00D9369A"/>
    <w:rsid w:val="00D97D3D"/>
    <w:rsid w:val="00DF49FF"/>
    <w:rsid w:val="00E05653"/>
    <w:rsid w:val="00E0722C"/>
    <w:rsid w:val="00E073BF"/>
    <w:rsid w:val="00E13A80"/>
    <w:rsid w:val="00E23DB9"/>
    <w:rsid w:val="00E3294C"/>
    <w:rsid w:val="00E45955"/>
    <w:rsid w:val="00E5494B"/>
    <w:rsid w:val="00E82536"/>
    <w:rsid w:val="00E82BE8"/>
    <w:rsid w:val="00E87284"/>
    <w:rsid w:val="00EA25F0"/>
    <w:rsid w:val="00EA6713"/>
    <w:rsid w:val="00EA7F6E"/>
    <w:rsid w:val="00EB28FD"/>
    <w:rsid w:val="00EB38E6"/>
    <w:rsid w:val="00EC47CC"/>
    <w:rsid w:val="00EC501D"/>
    <w:rsid w:val="00F3051C"/>
    <w:rsid w:val="00F474F1"/>
    <w:rsid w:val="00F55457"/>
    <w:rsid w:val="00F61518"/>
    <w:rsid w:val="00FC7432"/>
    <w:rsid w:val="00FD3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D6C4"/>
  <w15:docId w15:val="{9BD7DD7E-B5F3-43C4-96E3-88AC8094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ind w:firstLine="72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semiHidden/>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after="200"/>
    </w:pPr>
    <w:rPr>
      <w:i/>
      <w:iCs/>
      <w:color w:val="1F497D" w:themeColor="text2"/>
      <w:szCs w:val="18"/>
    </w:rPr>
  </w:style>
  <w:style w:type="paragraph" w:styleId="BalloonText">
    <w:name w:val="Balloon Text"/>
    <w:basedOn w:val="Normal"/>
    <w:link w:val="BalloonTextChar"/>
    <w:uiPriority w:val="99"/>
    <w:semiHidden/>
    <w:unhideWhenUsed/>
    <w:rsid w:val="00697389"/>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46DA6"/>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39"/>
    <w:rsid w:val="00B57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2696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269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826964"/>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43819">
      <w:bodyDiv w:val="1"/>
      <w:marLeft w:val="0"/>
      <w:marRight w:val="0"/>
      <w:marTop w:val="0"/>
      <w:marBottom w:val="0"/>
      <w:divBdr>
        <w:top w:val="none" w:sz="0" w:space="0" w:color="auto"/>
        <w:left w:val="none" w:sz="0" w:space="0" w:color="auto"/>
        <w:bottom w:val="none" w:sz="0" w:space="0" w:color="auto"/>
        <w:right w:val="none" w:sz="0" w:space="0" w:color="auto"/>
      </w:divBdr>
    </w:div>
    <w:div w:id="1840731293">
      <w:bodyDiv w:val="1"/>
      <w:marLeft w:val="0"/>
      <w:marRight w:val="0"/>
      <w:marTop w:val="0"/>
      <w:marBottom w:val="0"/>
      <w:divBdr>
        <w:top w:val="none" w:sz="0" w:space="0" w:color="auto"/>
        <w:left w:val="none" w:sz="0" w:space="0" w:color="auto"/>
        <w:bottom w:val="none" w:sz="0" w:space="0" w:color="auto"/>
        <w:right w:val="none" w:sz="0" w:space="0" w:color="auto"/>
      </w:divBdr>
    </w:div>
    <w:div w:id="2056348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koe\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1BC626EF9E45DD84D7089078EE58C3"/>
        <w:category>
          <w:name w:val="General"/>
          <w:gallery w:val="placeholder"/>
        </w:category>
        <w:types>
          <w:type w:val="bbPlcHdr"/>
        </w:types>
        <w:behaviors>
          <w:behavior w:val="content"/>
        </w:behaviors>
        <w:guid w:val="{0EF82148-A9FA-4DDE-A40E-94F9D2E3E6A5}"/>
      </w:docPartPr>
      <w:docPartBody>
        <w:p w:rsidR="00AD6A30" w:rsidRDefault="00FD4F38">
          <w:pPr>
            <w:pStyle w:val="F71BC626EF9E45DD84D7089078EE58C3"/>
          </w:pPr>
          <w:r w:rsidRPr="006F57FD">
            <w:t>To:</w:t>
          </w:r>
        </w:p>
      </w:docPartBody>
    </w:docPart>
    <w:docPart>
      <w:docPartPr>
        <w:name w:val="D2003518D774437998951CC6710ABF3B"/>
        <w:category>
          <w:name w:val="General"/>
          <w:gallery w:val="placeholder"/>
        </w:category>
        <w:types>
          <w:type w:val="bbPlcHdr"/>
        </w:types>
        <w:behaviors>
          <w:behavior w:val="content"/>
        </w:behaviors>
        <w:guid w:val="{815522C4-187B-4F4E-B984-ABBF41BDA592}"/>
      </w:docPartPr>
      <w:docPartBody>
        <w:p w:rsidR="00AD6A30" w:rsidRDefault="00FD4F38">
          <w:pPr>
            <w:pStyle w:val="D2003518D774437998951CC6710ABF3B"/>
          </w:pPr>
          <w:r w:rsidRPr="006F57FD">
            <w:t>From:</w:t>
          </w:r>
        </w:p>
      </w:docPartBody>
    </w:docPart>
    <w:docPart>
      <w:docPartPr>
        <w:name w:val="75493FD7E04E41FCB46B883DE0797F28"/>
        <w:category>
          <w:name w:val="General"/>
          <w:gallery w:val="placeholder"/>
        </w:category>
        <w:types>
          <w:type w:val="bbPlcHdr"/>
        </w:types>
        <w:behaviors>
          <w:behavior w:val="content"/>
        </w:behaviors>
        <w:guid w:val="{36240180-CC60-449B-A7BA-4538D64FB042}"/>
      </w:docPartPr>
      <w:docPartBody>
        <w:p w:rsidR="00AD6A30" w:rsidRDefault="00FD4F38">
          <w:pPr>
            <w:pStyle w:val="75493FD7E04E41FCB46B883DE0797F28"/>
          </w:pPr>
          <w:r w:rsidRPr="006F57FD">
            <w:t>Date:</w:t>
          </w:r>
        </w:p>
      </w:docPartBody>
    </w:docPart>
    <w:docPart>
      <w:docPartPr>
        <w:name w:val="3E566D586CAD44F5929A9DFBB022102E"/>
        <w:category>
          <w:name w:val="General"/>
          <w:gallery w:val="placeholder"/>
        </w:category>
        <w:types>
          <w:type w:val="bbPlcHdr"/>
        </w:types>
        <w:behaviors>
          <w:behavior w:val="content"/>
        </w:behaviors>
        <w:guid w:val="{46C263E9-87B0-4FAC-8F1C-A51D48613CD0}"/>
      </w:docPartPr>
      <w:docPartBody>
        <w:p w:rsidR="00AD6A30" w:rsidRDefault="00FD4F38">
          <w:pPr>
            <w:pStyle w:val="3E566D586CAD44F5929A9DFBB022102E"/>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38"/>
    <w:rsid w:val="00066F0D"/>
    <w:rsid w:val="00250F37"/>
    <w:rsid w:val="006545BF"/>
    <w:rsid w:val="00A164B2"/>
    <w:rsid w:val="00A44859"/>
    <w:rsid w:val="00AD6A30"/>
    <w:rsid w:val="00B058B3"/>
    <w:rsid w:val="00B933CA"/>
    <w:rsid w:val="00C175C7"/>
    <w:rsid w:val="00D53759"/>
    <w:rsid w:val="00E12235"/>
    <w:rsid w:val="00FD4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1BC626EF9E45DD84D7089078EE58C3">
    <w:name w:val="F71BC626EF9E45DD84D7089078EE58C3"/>
  </w:style>
  <w:style w:type="paragraph" w:customStyle="1" w:styleId="D2003518D774437998951CC6710ABF3B">
    <w:name w:val="D2003518D774437998951CC6710ABF3B"/>
  </w:style>
  <w:style w:type="paragraph" w:customStyle="1" w:styleId="75493FD7E04E41FCB46B883DE0797F28">
    <w:name w:val="75493FD7E04E41FCB46B883DE0797F28"/>
  </w:style>
  <w:style w:type="paragraph" w:customStyle="1" w:styleId="3E566D586CAD44F5929A9DFBB022102E">
    <w:name w:val="3E566D586CAD44F5929A9DFBB02210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244DA-8D16-4BAA-8F9E-29FFF6473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Interoffice Memo (Professional design)</Template>
  <TotalTime>0</TotalTime>
  <Pages>3</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Koebbe</dc:creator>
  <cp:keywords/>
  <dc:description/>
  <cp:lastModifiedBy>Kate Koebbe</cp:lastModifiedBy>
  <cp:revision>2</cp:revision>
  <dcterms:created xsi:type="dcterms:W3CDTF">2022-01-24T22:41:00Z</dcterms:created>
  <dcterms:modified xsi:type="dcterms:W3CDTF">2022-01-24T22:41:00Z</dcterms:modified>
</cp:coreProperties>
</file>