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2B8B" w14:textId="77777777" w:rsidR="00550DFE" w:rsidRDefault="00000000">
      <w:pPr>
        <w:pStyle w:val="Title"/>
      </w:pPr>
      <w:r>
        <w:t>Classifying serologic vs. molecular HLA nomenclature in tabular typing data</w:t>
      </w:r>
    </w:p>
    <w:p w14:paraId="30437F04" w14:textId="77777777" w:rsidR="00550DFE" w:rsidRDefault="00000000">
      <w:pPr>
        <w:pStyle w:val="Subtitle"/>
      </w:pPr>
      <w:r>
        <w:t>A request for input on the immunogenetr package (issue #33)</w:t>
      </w:r>
    </w:p>
    <w:p w14:paraId="286C7853" w14:textId="77777777" w:rsidR="00550DFE" w:rsidRDefault="00000000">
      <w:pPr>
        <w:pStyle w:val="Author"/>
      </w:pPr>
      <w:r>
        <w:t>Nicholas Brown</w:t>
      </w:r>
    </w:p>
    <w:p w14:paraId="6450C0A5" w14:textId="77777777" w:rsidR="00550DFE" w:rsidRDefault="00000000">
      <w:pPr>
        <w:pStyle w:val="Date"/>
      </w:pPr>
      <w:r>
        <w:t>2026-06-10</w:t>
      </w:r>
    </w:p>
    <w:p w14:paraId="08FB7880" w14:textId="77777777" w:rsidR="00550DFE" w:rsidRDefault="00000000">
      <w:pPr>
        <w:pStyle w:val="Heading2"/>
      </w:pPr>
      <w:bookmarkStart w:id="0" w:name="purpose-of-this-document"/>
      <w:r>
        <w:t>Purpose of this document</w:t>
      </w:r>
    </w:p>
    <w:p w14:paraId="324A71F6" w14:textId="77777777" w:rsidR="00550DFE" w:rsidRDefault="00000000">
      <w:pPr>
        <w:pStyle w:val="FirstParagraph"/>
      </w:pPr>
      <w:r>
        <w:t xml:space="preserve">The </w:t>
      </w:r>
      <w:r>
        <w:rPr>
          <w:rStyle w:val="VerbatimChar"/>
        </w:rPr>
        <w:t>immunogenetr</w:t>
      </w:r>
      <w:r>
        <w:t xml:space="preserve"> R package converts HLA typing data — often spread across many columns of a clinical or laboratory table — into a standardized GL string. To do that, it must decide, for each value, whether the typing is written in </w:t>
      </w:r>
      <w:r>
        <w:rPr>
          <w:b/>
          <w:bCs/>
        </w:rPr>
        <w:t>molecular</w:t>
      </w:r>
      <w:r>
        <w:t xml:space="preserve"> or </w:t>
      </w:r>
      <w:r>
        <w:rPr>
          <w:b/>
          <w:bCs/>
        </w:rPr>
        <w:t>serologic</w:t>
      </w:r>
      <w:r>
        <w:t xml:space="preserve"> nomenclature.</w:t>
      </w:r>
    </w:p>
    <w:p w14:paraId="6D02AB54" w14:textId="77777777" w:rsidR="00550DFE" w:rsidRDefault="00000000">
      <w:pPr>
        <w:pStyle w:val="BodyText"/>
      </w:pPr>
      <w:r>
        <w:t>The WHO 2026-04 nomenclature update has made that decision substantially harder. This document lays out the problem, the specific ambiguities, and the design direction I am leaning toward. I would value your review of the approach, and especially your help with a few questions about how real-world data is actually stored. The goal is a solution that is correct, predictable, and safe for use in automated pipelines.</w:t>
      </w:r>
    </w:p>
    <w:p w14:paraId="1A73A1DD" w14:textId="77777777" w:rsidR="00550DFE" w:rsidRDefault="00000000">
      <w:pPr>
        <w:pStyle w:val="Heading2"/>
      </w:pPr>
      <w:bookmarkStart w:id="1" w:name="background"/>
      <w:bookmarkEnd w:id="0"/>
      <w:r>
        <w:t>Background</w:t>
      </w:r>
    </w:p>
    <w:p w14:paraId="611567EF" w14:textId="77777777" w:rsidR="00550DFE" w:rsidRDefault="00000000">
      <w:pPr>
        <w:pStyle w:val="FirstParagraph"/>
      </w:pPr>
      <w:r>
        <w:t>For each typing value, the package emits one of two forms:</w:t>
      </w:r>
    </w:p>
    <w:p w14:paraId="0D413510" w14:textId="77777777" w:rsidR="00550DF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Molecular:</w:t>
      </w:r>
      <w:r>
        <w:t xml:space="preserve"> </w:t>
      </w:r>
      <w:r>
        <w:rPr>
          <w:rStyle w:val="VerbatimChar"/>
        </w:rPr>
        <w:t>HLA-A*02:01</w:t>
      </w:r>
    </w:p>
    <w:p w14:paraId="199D563F" w14:textId="77777777" w:rsidR="00550DF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Serologic:</w:t>
      </w:r>
      <w:r>
        <w:t xml:space="preserve"> </w:t>
      </w:r>
      <w:r>
        <w:rPr>
          <w:rStyle w:val="VerbatimChar"/>
        </w:rPr>
        <w:t>HLA-A2</w:t>
      </w:r>
    </w:p>
    <w:p w14:paraId="4402618A" w14:textId="77777777" w:rsidR="00550DFE" w:rsidRDefault="00000000">
      <w:pPr>
        <w:pStyle w:val="FirstParagraph"/>
      </w:pPr>
      <w:r>
        <w:t>Historically the package inferred which one to use from formatting cues in the value (a colon, a leading zero, an asterisk) together with the column name. One shortcut was that HLA-DQA1, HLA-DPA1, and HLA-DPB1 had no serologic nomenclature, so any value in those columns could safely be treated as molecular.</w:t>
      </w:r>
    </w:p>
    <w:p w14:paraId="2A64BCE2" w14:textId="77777777" w:rsidR="00550DFE" w:rsidRDefault="00000000">
      <w:pPr>
        <w:pStyle w:val="BodyText"/>
      </w:pPr>
      <w:r>
        <w:t>The 2026-04 update broke that assumption, and on closer inspection it created several broader ambiguities that affect the classical loci as well.</w:t>
      </w:r>
    </w:p>
    <w:p w14:paraId="75AEE418" w14:textId="77777777" w:rsidR="00550DFE" w:rsidRDefault="00000000">
      <w:pPr>
        <w:pStyle w:val="Heading2"/>
      </w:pPr>
      <w:bookmarkStart w:id="2" w:name="Xaa3bdaed3cd836ca1596c15094b2967168c3f65"/>
      <w:bookmarkEnd w:id="1"/>
      <w:r>
        <w:t>The core difficulty: ambiguity at the value level</w:t>
      </w:r>
    </w:p>
    <w:p w14:paraId="51715D2F" w14:textId="77777777" w:rsidR="00550DFE" w:rsidRDefault="00000000">
      <w:pPr>
        <w:pStyle w:val="FirstParagraph"/>
      </w:pPr>
      <w:r>
        <w:t xml:space="preserve">The central problem is that, with the asterisk frequently omitted from stored tables, some values are valid in </w:t>
      </w:r>
      <w:r>
        <w:rPr>
          <w:b/>
          <w:bCs/>
        </w:rPr>
        <w:t>both</w:t>
      </w:r>
      <w:r>
        <w:t xml:space="preserve"> nomenclatures and cannot be told apart from the value alone.</w:t>
      </w:r>
    </w:p>
    <w:p w14:paraId="0510C6A5" w14:textId="77777777" w:rsidR="00550DFE" w:rsidRDefault="00000000">
      <w:pPr>
        <w:pStyle w:val="BodyText"/>
      </w:pPr>
      <w:r>
        <w:rPr>
          <w:b/>
          <w:bCs/>
        </w:rPr>
        <w:t>Worked example — allele A*02:01:</w:t>
      </w:r>
    </w:p>
    <w:p w14:paraId="6FA15100" w14:textId="77777777" w:rsidR="00550DFE" w:rsidRDefault="00000000">
      <w:pPr>
        <w:pStyle w:val="Compact"/>
        <w:numPr>
          <w:ilvl w:val="0"/>
          <w:numId w:val="3"/>
        </w:numPr>
      </w:pPr>
      <w:r>
        <w:t xml:space="preserve">Current molecular form: </w:t>
      </w:r>
      <w:r>
        <w:rPr>
          <w:rStyle w:val="VerbatimChar"/>
        </w:rPr>
        <w:t>A*02:01</w:t>
      </w:r>
    </w:p>
    <w:p w14:paraId="1AAD5B86" w14:textId="7EC4193C" w:rsidR="00550DFE" w:rsidRDefault="00000000">
      <w:pPr>
        <w:pStyle w:val="Compact"/>
        <w:numPr>
          <w:ilvl w:val="0"/>
          <w:numId w:val="3"/>
        </w:numPr>
      </w:pPr>
      <w:r>
        <w:t xml:space="preserve">Associated antigen: </w:t>
      </w:r>
      <w:r>
        <w:rPr>
          <w:rStyle w:val="VerbatimChar"/>
        </w:rPr>
        <w:t>A0201</w:t>
      </w:r>
    </w:p>
    <w:p w14:paraId="079CD429" w14:textId="77777777" w:rsidR="00550DFE" w:rsidRDefault="00000000">
      <w:pPr>
        <w:pStyle w:val="Compact"/>
        <w:numPr>
          <w:ilvl w:val="0"/>
          <w:numId w:val="3"/>
        </w:numPr>
      </w:pPr>
      <w:r>
        <w:lastRenderedPageBreak/>
        <w:t xml:space="preserve">Older molecular form (two fields, no colon): </w:t>
      </w:r>
      <w:r>
        <w:rPr>
          <w:rStyle w:val="VerbatimChar"/>
        </w:rPr>
        <w:t>A*0201</w:t>
      </w:r>
    </w:p>
    <w:p w14:paraId="2683F061" w14:textId="77777777" w:rsidR="00550DFE" w:rsidRDefault="00000000">
      <w:pPr>
        <w:pStyle w:val="FirstParagraph"/>
      </w:pPr>
      <w:r>
        <w:t xml:space="preserve">If a table stores a locus </w:t>
      </w:r>
      <w:r>
        <w:rPr>
          <w:rStyle w:val="VerbatimChar"/>
        </w:rPr>
        <w:t>A</w:t>
      </w:r>
      <w:r>
        <w:t xml:space="preserve"> with the value </w:t>
      </w:r>
      <w:r>
        <w:rPr>
          <w:rStyle w:val="VerbatimChar"/>
        </w:rPr>
        <w:t>0201</w:t>
      </w:r>
      <w:r>
        <w:t>, and the asterisk has been dropped, then:</w:t>
      </w:r>
    </w:p>
    <w:p w14:paraId="2EA977A8" w14:textId="77777777" w:rsidR="00550DFE" w:rsidRDefault="00000000">
      <w:pPr>
        <w:pStyle w:val="Compact"/>
        <w:numPr>
          <w:ilvl w:val="0"/>
          <w:numId w:val="4"/>
        </w:numPr>
      </w:pPr>
      <w:r>
        <w:t xml:space="preserve">Legacy molecular </w:t>
      </w:r>
      <w:r>
        <w:rPr>
          <w:rStyle w:val="VerbatimChar"/>
        </w:rPr>
        <w:t>A*0201</w:t>
      </w:r>
      <w:r>
        <w:t xml:space="preserve"> becomes </w:t>
      </w:r>
      <w:r>
        <w:rPr>
          <w:rStyle w:val="VerbatimChar"/>
        </w:rPr>
        <w:t>0201</w:t>
      </w:r>
    </w:p>
    <w:p w14:paraId="36602746" w14:textId="77777777" w:rsidR="00550DFE" w:rsidRDefault="00000000">
      <w:pPr>
        <w:pStyle w:val="Compact"/>
        <w:numPr>
          <w:ilvl w:val="0"/>
          <w:numId w:val="4"/>
        </w:numPr>
      </w:pPr>
      <w:r>
        <w:t xml:space="preserve">Associated antigen </w:t>
      </w:r>
      <w:r>
        <w:rPr>
          <w:rStyle w:val="VerbatimChar"/>
        </w:rPr>
        <w:t>A0201</w:t>
      </w:r>
      <w:r>
        <w:t xml:space="preserve"> becomes </w:t>
      </w:r>
      <w:r>
        <w:rPr>
          <w:rStyle w:val="VerbatimChar"/>
        </w:rPr>
        <w:t>0201</w:t>
      </w:r>
    </w:p>
    <w:p w14:paraId="21CF6799" w14:textId="77777777" w:rsidR="00550DFE" w:rsidRDefault="00000000">
      <w:pPr>
        <w:pStyle w:val="FirstParagraph"/>
      </w:pPr>
      <w:r>
        <w:t>The two are now an identical string. No formatting rule can separate them, because each is a legitimate member of its own nomenclature.</w:t>
      </w:r>
    </w:p>
    <w:p w14:paraId="2CC610C8" w14:textId="77777777" w:rsidR="00550DFE" w:rsidRDefault="00000000">
      <w:pPr>
        <w:pStyle w:val="Heading2"/>
      </w:pPr>
      <w:bookmarkStart w:id="3" w:name="X29aa8811c2554295d9fcf048227c290c8967b2b"/>
      <w:bookmarkEnd w:id="2"/>
      <w:r>
        <w:t>Specific ambiguities introduced or worsened by the 2026 update</w:t>
      </w:r>
    </w:p>
    <w:p w14:paraId="457E84F9" w14:textId="77777777" w:rsidR="00550DFE" w:rsidRDefault="00000000">
      <w:pPr>
        <w:numPr>
          <w:ilvl w:val="0"/>
          <w:numId w:val="5"/>
        </w:numPr>
      </w:pPr>
      <w:r>
        <w:rPr>
          <w:b/>
          <w:bCs/>
        </w:rPr>
        <w:t>New serologic specificities for DQA1 / DPA1 / DPB1.</w:t>
      </w:r>
      <w:r>
        <w:t xml:space="preserve"> These loci now have serologic forms (for example </w:t>
      </w:r>
      <w:r>
        <w:rPr>
          <w:rStyle w:val="VerbatimChar"/>
        </w:rPr>
        <w:t>DQA01</w:t>
      </w:r>
      <w:r>
        <w:t xml:space="preserve">, </w:t>
      </w:r>
      <w:r>
        <w:rPr>
          <w:rStyle w:val="VerbatimChar"/>
        </w:rPr>
        <w:t>DPA02</w:t>
      </w:r>
      <w:r>
        <w:t xml:space="preserve">, </w:t>
      </w:r>
      <w:r>
        <w:rPr>
          <w:rStyle w:val="VerbatimChar"/>
        </w:rPr>
        <w:t>DPB0201</w:t>
      </w:r>
      <w:r>
        <w:t>). The package’s “these columns are always molecular” shortcut now misclassifies genuine serologic values.</w:t>
      </w:r>
    </w:p>
    <w:p w14:paraId="21C026C4" w14:textId="77777777" w:rsidR="00550DFE" w:rsidRDefault="00000000">
      <w:pPr>
        <w:numPr>
          <w:ilvl w:val="0"/>
          <w:numId w:val="5"/>
        </w:numPr>
      </w:pPr>
      <w:r>
        <w:rPr>
          <w:b/>
          <w:bCs/>
        </w:rPr>
        <w:t>Leading zeros are no longer a molecular-only signal.</w:t>
      </w:r>
      <w:r>
        <w:t xml:space="preserve"> The new serologic forms carry leading zeros, so a bare </w:t>
      </w:r>
      <w:r>
        <w:rPr>
          <w:rStyle w:val="VerbatimChar"/>
        </w:rPr>
        <w:t>01</w:t>
      </w:r>
      <w:r>
        <w:t xml:space="preserve"> in a DQA1 column could be molecular </w:t>
      </w:r>
      <w:r>
        <w:rPr>
          <w:rStyle w:val="VerbatimChar"/>
        </w:rPr>
        <w:t>DQA1*01</w:t>
      </w:r>
      <w:r>
        <w:t xml:space="preserve"> or serologic </w:t>
      </w:r>
      <w:r>
        <w:rPr>
          <w:rStyle w:val="VerbatimChar"/>
        </w:rPr>
        <w:t>DQA01</w:t>
      </w:r>
      <w:r>
        <w:t>.</w:t>
      </w:r>
    </w:p>
    <w:p w14:paraId="639BECAA" w14:textId="77777777" w:rsidR="00550DFE" w:rsidRDefault="00000000">
      <w:pPr>
        <w:numPr>
          <w:ilvl w:val="0"/>
          <w:numId w:val="5"/>
        </w:numPr>
      </w:pPr>
      <w:r>
        <w:rPr>
          <w:b/>
          <w:bCs/>
        </w:rPr>
        <w:t>Column-name conventions are in flux.</w:t>
      </w:r>
      <w:r>
        <w:t xml:space="preserve"> Ideally a </w:t>
      </w:r>
      <w:r>
        <w:rPr>
          <w:rStyle w:val="VerbatimChar"/>
        </w:rPr>
        <w:t>DQA1</w:t>
      </w:r>
      <w:r>
        <w:t xml:space="preserve"> column (with the trailing 1) holds molecular data and a </w:t>
      </w:r>
      <w:r>
        <w:rPr>
          <w:rStyle w:val="VerbatimChar"/>
        </w:rPr>
        <w:t>DQA</w:t>
      </w:r>
      <w:r>
        <w:t xml:space="preserve"> column (without it) holds serologic. But this convention is new, legacy tables will not be updated, and so a </w:t>
      </w:r>
      <w:r>
        <w:rPr>
          <w:rStyle w:val="VerbatimChar"/>
        </w:rPr>
        <w:t>DQA</w:t>
      </w:r>
      <w:r>
        <w:t xml:space="preserve"> column may hold either.</w:t>
      </w:r>
    </w:p>
    <w:p w14:paraId="6FD33030" w14:textId="77777777" w:rsidR="00550DFE" w:rsidRDefault="00000000">
      <w:pPr>
        <w:numPr>
          <w:ilvl w:val="0"/>
          <w:numId w:val="5"/>
        </w:numPr>
      </w:pPr>
      <w:r>
        <w:rPr>
          <w:b/>
          <w:bCs/>
        </w:rPr>
        <w:t>Associated-antigen collisions on the classical loci.</w:t>
      </w:r>
      <w:r>
        <w:t xml:space="preserve"> As in the worked example above, associated antigens such as </w:t>
      </w:r>
      <w:r>
        <w:rPr>
          <w:rStyle w:val="VerbatimChar"/>
        </w:rPr>
        <w:t>A0201</w:t>
      </w:r>
      <w:r>
        <w:t xml:space="preserve"> collide with older molecular forms once the asterisk is dropped. This extends the ambiguity to HLA-A, -B, -C, and -DR.</w:t>
      </w:r>
    </w:p>
    <w:p w14:paraId="13EC9A00" w14:textId="77777777" w:rsidR="00550DFE" w:rsidRDefault="00000000">
      <w:pPr>
        <w:numPr>
          <w:ilvl w:val="0"/>
          <w:numId w:val="5"/>
        </w:numPr>
      </w:pPr>
      <w:r>
        <w:rPr>
          <w:b/>
          <w:bCs/>
        </w:rPr>
        <w:t>Cross-era renaming.</w:t>
      </w:r>
      <w:r>
        <w:t xml:space="preserve"> The update renamed some existing associated antigens — for example the older </w:t>
      </w:r>
      <w:r>
        <w:rPr>
          <w:rStyle w:val="VerbatimChar"/>
        </w:rPr>
        <w:t>A203</w:t>
      </w:r>
      <w:r>
        <w:t xml:space="preserve"> is now </w:t>
      </w:r>
      <w:r>
        <w:rPr>
          <w:rStyle w:val="VerbatimChar"/>
        </w:rPr>
        <w:t>A0203</w:t>
      </w:r>
      <w:r>
        <w:t xml:space="preserve">. Correctly consuming serologic data therefore requires translation between nomenclature eras, not just a single current-era reference. The </w:t>
      </w:r>
      <w:r>
        <w:rPr>
          <w:rStyle w:val="VerbatimChar"/>
        </w:rPr>
        <w:t>HLAtools</w:t>
      </w:r>
      <w:r>
        <w:t xml:space="preserve"> package already provides era translation, and I plan to investigate whether we can build on it.</w:t>
      </w:r>
    </w:p>
    <w:p w14:paraId="76DCAF83" w14:textId="77777777" w:rsidR="00550DFE" w:rsidRDefault="00000000">
      <w:pPr>
        <w:pStyle w:val="Heading2"/>
      </w:pPr>
      <w:bookmarkStart w:id="4" w:name="design-direction-i-am-proposing"/>
      <w:bookmarkEnd w:id="3"/>
      <w:r>
        <w:t>Design direction I am proposing</w:t>
      </w:r>
    </w:p>
    <w:p w14:paraId="0B4639AB" w14:textId="77777777" w:rsidR="00550DFE" w:rsidRDefault="00000000">
      <w:pPr>
        <w:pStyle w:val="FirstParagraph"/>
      </w:pPr>
      <w:r>
        <w:rPr>
          <w:b/>
          <w:bCs/>
        </w:rPr>
        <w:t>The function will not become interactive.</w:t>
      </w:r>
      <w:r>
        <w:t xml:space="preserve"> A prompt asking the user to choose molecular or serologic would break every automated use — pipelines, reports, web APIs, scheduled jobs, and tests — and would not scale to large tables. It would also make results depend on console input rather than on the data and arguments, which harms reproducibility.</w:t>
      </w:r>
    </w:p>
    <w:p w14:paraId="201EF904" w14:textId="77777777" w:rsidR="00550DFE" w:rsidRDefault="00000000">
      <w:pPr>
        <w:pStyle w:val="BodyText"/>
      </w:pPr>
      <w:r>
        <w:t xml:space="preserve">Instead, I propose that the </w:t>
      </w:r>
      <w:r>
        <w:rPr>
          <w:b/>
          <w:bCs/>
        </w:rPr>
        <w:t>caller declares the nomenclature explicitly, at the column level.</w:t>
      </w:r>
      <w:r>
        <w:t xml:space="preserve"> This is workable because, in practice, a given column is internally consistent — it is essentially all molecular or all serologic, not a mix. Concretely:</w:t>
      </w:r>
    </w:p>
    <w:p w14:paraId="5F43C227" w14:textId="77777777" w:rsidR="00550DFE" w:rsidRDefault="00000000">
      <w:pPr>
        <w:pStyle w:val="Compact"/>
        <w:numPr>
          <w:ilvl w:val="0"/>
          <w:numId w:val="6"/>
        </w:numPr>
      </w:pPr>
      <w:r>
        <w:lastRenderedPageBreak/>
        <w:t>The function defaults to assuming molecular, preserving current behavior and backward compatibility.</w:t>
      </w:r>
    </w:p>
    <w:p w14:paraId="457C38BF" w14:textId="77777777" w:rsidR="00550DFE" w:rsidRDefault="00000000">
      <w:pPr>
        <w:pStyle w:val="Compact"/>
        <w:numPr>
          <w:ilvl w:val="0"/>
          <w:numId w:val="6"/>
        </w:numPr>
      </w:pPr>
      <w:r>
        <w:t>The caller can declare which columns are serologic (for example, by naming them in an argument).</w:t>
      </w:r>
    </w:p>
    <w:p w14:paraId="4999C46A" w14:textId="77777777" w:rsidR="00550DFE" w:rsidRDefault="00000000">
      <w:pPr>
        <w:pStyle w:val="Compact"/>
        <w:numPr>
          <w:ilvl w:val="0"/>
          <w:numId w:val="6"/>
        </w:numPr>
      </w:pPr>
      <w:r>
        <w:t>An unambiguous molecular signal in the value (a colon or an asterisk) always wins.</w:t>
      </w:r>
    </w:p>
    <w:p w14:paraId="2B10E5DC" w14:textId="77777777" w:rsidR="00550DFE" w:rsidRDefault="00000000">
      <w:pPr>
        <w:pStyle w:val="Compact"/>
        <w:numPr>
          <w:ilvl w:val="0"/>
          <w:numId w:val="6"/>
        </w:numPr>
      </w:pPr>
      <w:r>
        <w:t xml:space="preserve">Any value that remains ambiguous under the declared assumption triggers a </w:t>
      </w:r>
      <w:r>
        <w:rPr>
          <w:b/>
          <w:bCs/>
        </w:rPr>
        <w:t>warning</w:t>
      </w:r>
      <w:r>
        <w:t xml:space="preserve"> that lists the affected cells, so a misclassification is never silent.</w:t>
      </w:r>
    </w:p>
    <w:p w14:paraId="424EEA1C" w14:textId="77777777" w:rsidR="00550DFE" w:rsidRDefault="00000000">
      <w:pPr>
        <w:pStyle w:val="FirstParagraph"/>
      </w:pPr>
      <w:r>
        <w:t>For exploratory work, a separate, optional helper could scan a table, report the ambiguous values, and return a column-to-nomenclature mapping that the user then passes in. This keeps the core conversion pure and reproducible while still offering a guided workflow at the console when desired.</w:t>
      </w:r>
    </w:p>
    <w:p w14:paraId="68780F0F" w14:textId="77777777" w:rsidR="00550DFE" w:rsidRDefault="00000000">
      <w:pPr>
        <w:pStyle w:val="BodyText"/>
      </w:pPr>
      <w:r>
        <w:t>The solution will also need validated reference data: the current serologic specificities per locus, and translation tables for renamed antigens across eras.</w:t>
      </w:r>
    </w:p>
    <w:p w14:paraId="60E698F3" w14:textId="77777777" w:rsidR="00550DFE" w:rsidRDefault="00000000">
      <w:pPr>
        <w:pStyle w:val="Heading2"/>
      </w:pPr>
      <w:bookmarkStart w:id="5" w:name="questions-i-would-value-your-input-on"/>
      <w:bookmarkEnd w:id="4"/>
      <w:r>
        <w:t>Questions I would value your input on</w:t>
      </w:r>
    </w:p>
    <w:p w14:paraId="09868EB4" w14:textId="77777777" w:rsidR="00550DFE" w:rsidRDefault="00000000">
      <w:pPr>
        <w:numPr>
          <w:ilvl w:val="0"/>
          <w:numId w:val="7"/>
        </w:numPr>
      </w:pPr>
      <w:r>
        <w:t xml:space="preserve">In the tables you work with, how are serologic DQA / DPA / DP values actually written — a bare number, a prefixed token such as </w:t>
      </w:r>
      <w:r>
        <w:rPr>
          <w:rStyle w:val="VerbatimChar"/>
        </w:rPr>
        <w:t>DQA1</w:t>
      </w:r>
      <w:r>
        <w:t xml:space="preserve"> or </w:t>
      </w:r>
      <w:r>
        <w:rPr>
          <w:rStyle w:val="VerbatimChar"/>
        </w:rPr>
        <w:t>DPw4</w:t>
      </w:r>
      <w:r>
        <w:t xml:space="preserve">, or the leading-zero form such as </w:t>
      </w:r>
      <w:r>
        <w:rPr>
          <w:rStyle w:val="VerbatimChar"/>
        </w:rPr>
        <w:t>01</w:t>
      </w:r>
      <w:r>
        <w:t>?</w:t>
      </w:r>
    </w:p>
    <w:p w14:paraId="0A1D3C80" w14:textId="77777777" w:rsidR="00550DFE" w:rsidRDefault="00000000">
      <w:pPr>
        <w:numPr>
          <w:ilvl w:val="0"/>
          <w:numId w:val="7"/>
        </w:numPr>
      </w:pPr>
      <w:r>
        <w:t xml:space="preserve">Do your laboratories actually store associated antigens (the </w:t>
      </w:r>
      <w:r>
        <w:rPr>
          <w:rStyle w:val="VerbatimChar"/>
        </w:rPr>
        <w:t>A0201</w:t>
      </w:r>
      <w:r>
        <w:t xml:space="preserve"> level of resolution) in these tables? Or is that level uncommon enough that it is reasonable to default ambiguous values to molecular and treat serologic as an explicitly declared case?</w:t>
      </w:r>
    </w:p>
    <w:p w14:paraId="1EA6BB51" w14:textId="77777777" w:rsidR="00550DFE" w:rsidRDefault="00000000">
      <w:pPr>
        <w:numPr>
          <w:ilvl w:val="0"/>
          <w:numId w:val="7"/>
        </w:numPr>
      </w:pPr>
      <w:r>
        <w:t xml:space="preserve">Is the </w:t>
      </w:r>
      <w:r>
        <w:rPr>
          <w:rStyle w:val="VerbatimChar"/>
        </w:rPr>
        <w:t>DQA1</w:t>
      </w:r>
      <w:r>
        <w:t xml:space="preserve">-means-molecular versus </w:t>
      </w:r>
      <w:r>
        <w:rPr>
          <w:rStyle w:val="VerbatimChar"/>
        </w:rPr>
        <w:t>DQA</w:t>
      </w:r>
      <w:r>
        <w:t>-means-serologic column convention something we can expect to take hold, or will column naming stay inconsistent for the foreseeable future?</w:t>
      </w:r>
    </w:p>
    <w:p w14:paraId="7D6CCA78" w14:textId="77777777" w:rsidR="00550DFE" w:rsidRDefault="00000000">
      <w:pPr>
        <w:numPr>
          <w:ilvl w:val="0"/>
          <w:numId w:val="7"/>
        </w:numPr>
      </w:pPr>
      <w:r>
        <w:t>Do you have example tables — real or representative — that show the range of formats in use? Concrete examples would let me build a test set that prevents regressions and confirms the approach across the cases that actually occur.</w:t>
      </w:r>
    </w:p>
    <w:p w14:paraId="51A058B3" w14:textId="77777777" w:rsidR="00550DFE" w:rsidRDefault="00000000">
      <w:pPr>
        <w:pStyle w:val="FirstParagraph"/>
      </w:pPr>
      <w:r>
        <w:t>Thank you for taking a look. Any corrections to my understanding of the nomenclature, or examples of data you have seen, would be very helpful.</w:t>
      </w:r>
      <w:bookmarkEnd w:id="5"/>
    </w:p>
    <w:sectPr w:rsidR="00550D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6CCD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416B0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2D056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6931202">
    <w:abstractNumId w:val="0"/>
  </w:num>
  <w:num w:numId="2" w16cid:durableId="675310340">
    <w:abstractNumId w:val="1"/>
  </w:num>
  <w:num w:numId="3" w16cid:durableId="1314332255">
    <w:abstractNumId w:val="1"/>
  </w:num>
  <w:num w:numId="4" w16cid:durableId="1268268894">
    <w:abstractNumId w:val="1"/>
  </w:num>
  <w:num w:numId="5" w16cid:durableId="2053453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78365075">
    <w:abstractNumId w:val="1"/>
  </w:num>
  <w:num w:numId="7" w16cid:durableId="538973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DFE"/>
    <w:rsid w:val="00196828"/>
    <w:rsid w:val="004E0C02"/>
    <w:rsid w:val="00550DFE"/>
    <w:rsid w:val="009A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1116E"/>
  <w15:docId w15:val="{2AAEF291-AECD-480E-883A-C4F75FD0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Classifying serologic vs. molecular HLA nomenclature in tabular typing data</vt:lpstr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Classifying serologic vs. molecular HLA nomenclature in tabular typing data</dc:title>
  <dc:creator>Nicholas Brown</dc:creator>
  <cp:keywords/>
  <cp:lastModifiedBy>Nick Brown</cp:lastModifiedBy>
  <cp:revision>2</cp:revision>
  <dcterms:created xsi:type="dcterms:W3CDTF">2026-06-10T14:53:00Z</dcterms:created>
  <dcterms:modified xsi:type="dcterms:W3CDTF">2026-06-10T15:01:00Z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2026-06-10</vt:lpwstr>
  </property>
  <property fmtid="{D5CDD505-2E9C-101B-9397-08002B2CF9AE}" pid="3" name="subtitle">
    <vt:lpwstr>A request for input on the immunogenetr package (issue #33)</vt:lpwstr>
  </property>
</Properties>
</file>