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NIVESHGUARD</w:t>
      </w:r>
    </w:p>
    <w:p>
      <w:pPr>
        <w:jc w:val="center"/>
      </w:pPr>
      <w:r>
        <w:rPr>
          <w:b/>
          <w:sz w:val="42"/>
        </w:rPr>
        <w:t>APP REQUIREMENTS DOCUMENT</w:t>
      </w:r>
    </w:p>
    <w:p>
      <w:pPr>
        <w:jc w:val="center"/>
      </w:pPr>
      <w:r>
        <w:rPr>
          <w:sz w:val="20"/>
        </w:rPr>
        <w:t>ARD v1.0 • Hackathon MVP • October 2026</w:t>
      </w:r>
    </w:p>
    <w:p>
      <w:pPr>
        <w:jc w:val="center"/>
      </w:pPr>
      <w:r>
        <w:rPr>
          <w:b/>
          <w:sz w:val="28"/>
        </w:rPr>
        <w:t>Understand. Verify. Pause. Protect.</w:t>
      </w:r>
    </w:p>
    <w:p>
      <w:r>
        <w:br w:type="page"/>
      </w:r>
    </w:p>
    <w:p>
      <w:pPr>
        <w:pStyle w:val="Heading1"/>
      </w:pPr>
      <w:r>
        <w:t>1. Document Purpose</w:t>
      </w:r>
    </w:p>
    <w:p>
      <w:r>
        <w:t>This document converts the NiveshGuard product and technical direction into concrete application requirements. It defines what the user must be able to do, what every major screen must contain, how the application should behave, and what must be explicitly excluded. It is the primary functional reference for frontend and backend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Document</w:t>
            </w:r>
          </w:p>
        </w:tc>
        <w:tc>
          <w:tcPr>
            <w:tcW w:type="dxa" w:w="5112"/>
            <w:shd w:fill="17324D"/>
          </w:tcPr>
          <w:p>
            <w:r>
              <w:rPr>
                <w:b/>
                <w:color w:val="FFFFFF"/>
                <w:sz w:val="18"/>
              </w:rPr>
              <w:t>Relationship</w:t>
            </w:r>
          </w:p>
        </w:tc>
      </w:tr>
      <w:tr>
        <w:tc>
          <w:tcPr>
            <w:tcW w:type="dxa" w:w="5112"/>
            <w:vAlign w:val="center"/>
          </w:tcPr>
          <w:p>
            <w:r>
              <w:rPr>
                <w:sz w:val="18"/>
              </w:rPr>
              <w:t>PRD v1.0</w:t>
            </w:r>
          </w:p>
        </w:tc>
        <w:tc>
          <w:tcPr>
            <w:tcW w:type="dxa" w:w="5112"/>
            <w:vAlign w:val="center"/>
          </w:tcPr>
          <w:p>
            <w:r>
              <w:rPr>
                <w:sz w:val="18"/>
              </w:rPr>
              <w:t>Why NiveshGuard exists, target problem, users, value and product direction</w:t>
            </w:r>
          </w:p>
        </w:tc>
      </w:tr>
      <w:tr>
        <w:tc>
          <w:tcPr>
            <w:tcW w:type="dxa" w:w="5112"/>
            <w:vAlign w:val="center"/>
          </w:tcPr>
          <w:p>
            <w:r>
              <w:rPr>
                <w:sz w:val="18"/>
              </w:rPr>
              <w:t>TRD v1.0</w:t>
            </w:r>
          </w:p>
        </w:tc>
        <w:tc>
          <w:tcPr>
            <w:tcW w:type="dxa" w:w="5112"/>
            <w:vAlign w:val="center"/>
          </w:tcPr>
          <w:p>
            <w:r>
              <w:rPr>
                <w:sz w:val="18"/>
              </w:rPr>
              <w:t>How the system is technically implemented</w:t>
            </w:r>
          </w:p>
        </w:tc>
      </w:tr>
      <w:tr>
        <w:tc>
          <w:tcPr>
            <w:tcW w:type="dxa" w:w="5112"/>
            <w:vAlign w:val="center"/>
          </w:tcPr>
          <w:p>
            <w:r>
              <w:rPr>
                <w:sz w:val="18"/>
              </w:rPr>
              <w:t>ARD v1.0</w:t>
            </w:r>
          </w:p>
        </w:tc>
        <w:tc>
          <w:tcPr>
            <w:tcW w:type="dxa" w:w="5112"/>
            <w:vAlign w:val="center"/>
          </w:tcPr>
          <w:p>
            <w:r>
              <w:rPr>
                <w:sz w:val="18"/>
              </w:rPr>
              <w:t>Exactly what the application must provide and how users experience it</w:t>
            </w:r>
          </w:p>
        </w:tc>
      </w:tr>
    </w:tbl>
    <w:p/>
    <w:p>
      <w:pPr>
        <w:pStyle w:val="Heading1"/>
      </w:pPr>
      <w:r>
        <w:t>2. Product Definition</w:t>
      </w:r>
    </w:p>
    <w:p>
      <w:r>
        <w:t>NiveshGuard is an investor-safety decision-support application that helps people inspect suspicious financial messages, screenshots, documents or requests before taking action. It identifies observable manipulation signals, connects claims to evidence, guides users toward verification, and provides safer next steps without telling users what investments to buy, sell or hold.</w:t>
      </w:r>
    </w:p>
    <w:p>
      <w:pPr>
        <w:pStyle w:val="Heading2"/>
      </w:pPr>
      <w:r>
        <w:t>2.1 Core Promise</w:t>
      </w:r>
    </w:p>
    <w:p>
      <w:pPr>
        <w:jc w:val="center"/>
      </w:pPr>
      <w:r>
        <w:rPr>
          <w:b/>
        </w:rPr>
        <w:t>Don't decide from pressure. Understand the claim, inspect the evidence, verify the source.</w:t>
      </w:r>
    </w:p>
    <w:p>
      <w:pPr>
        <w:pStyle w:val="Heading1"/>
      </w:pPr>
      <w:r>
        <w:t>3. Target Users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User</w:t>
            </w:r>
          </w:p>
        </w:tc>
        <w:tc>
          <w:tcPr>
            <w:tcW w:type="dxa" w:w="5112"/>
            <w:shd w:fill="17324D"/>
          </w:tcPr>
          <w:p>
            <w:r>
              <w:rPr>
                <w:b/>
                <w:color w:val="FFFFFF"/>
                <w:sz w:val="18"/>
              </w:rPr>
              <w:t>Primary need</w:t>
            </w:r>
          </w:p>
        </w:tc>
      </w:tr>
      <w:tr>
        <w:tc>
          <w:tcPr>
            <w:tcW w:type="dxa" w:w="5112"/>
            <w:vAlign w:val="center"/>
          </w:tcPr>
          <w:p>
            <w:r>
              <w:rPr>
                <w:sz w:val="18"/>
              </w:rPr>
              <w:t>First-time investor</w:t>
            </w:r>
          </w:p>
        </w:tc>
        <w:tc>
          <w:tcPr>
            <w:tcW w:type="dxa" w:w="5112"/>
            <w:vAlign w:val="center"/>
          </w:tcPr>
          <w:p>
            <w:r>
              <w:rPr>
                <w:sz w:val="18"/>
              </w:rPr>
              <w:t>Understand suspicious financial communication without financial jargon</w:t>
            </w:r>
          </w:p>
        </w:tc>
      </w:tr>
      <w:tr>
        <w:tc>
          <w:tcPr>
            <w:tcW w:type="dxa" w:w="5112"/>
            <w:vAlign w:val="center"/>
          </w:tcPr>
          <w:p>
            <w:r>
              <w:rPr>
                <w:sz w:val="18"/>
              </w:rPr>
              <w:t>Tier-2/Tier-3 user</w:t>
            </w:r>
          </w:p>
        </w:tc>
        <w:tc>
          <w:tcPr>
            <w:tcW w:type="dxa" w:w="5112"/>
            <w:vAlign w:val="center"/>
          </w:tcPr>
          <w:p>
            <w:r>
              <w:rPr>
                <w:sz w:val="18"/>
              </w:rPr>
              <w:t>Get a simple, regional-language safety explanation</w:t>
            </w:r>
          </w:p>
        </w:tc>
      </w:tr>
      <w:tr>
        <w:tc>
          <w:tcPr>
            <w:tcW w:type="dxa" w:w="5112"/>
            <w:vAlign w:val="center"/>
          </w:tcPr>
          <w:p>
            <w:r>
              <w:rPr>
                <w:sz w:val="18"/>
              </w:rPr>
              <w:t>Young social-media user</w:t>
            </w:r>
          </w:p>
        </w:tc>
        <w:tc>
          <w:tcPr>
            <w:tcW w:type="dxa" w:w="5112"/>
            <w:vAlign w:val="center"/>
          </w:tcPr>
          <w:p>
            <w:r>
              <w:rPr>
                <w:sz w:val="18"/>
              </w:rPr>
              <w:t>Check forwarded investment/scam messages before acting</w:t>
            </w:r>
          </w:p>
        </w:tc>
      </w:tr>
      <w:tr>
        <w:tc>
          <w:tcPr>
            <w:tcW w:type="dxa" w:w="5112"/>
            <w:vAlign w:val="center"/>
          </w:tcPr>
          <w:p>
            <w:r>
              <w:rPr>
                <w:sz w:val="18"/>
              </w:rPr>
              <w:t>Family member</w:t>
            </w:r>
          </w:p>
        </w:tc>
        <w:tc>
          <w:tcPr>
            <w:tcW w:type="dxa" w:w="5112"/>
            <w:vAlign w:val="center"/>
          </w:tcPr>
          <w:p>
            <w:r>
              <w:rPr>
                <w:sz w:val="18"/>
              </w:rPr>
              <w:t>Help an elderly/less-digital family member inspect a suspicious request</w:t>
            </w:r>
          </w:p>
        </w:tc>
      </w:tr>
      <w:tr>
        <w:tc>
          <w:tcPr>
            <w:tcW w:type="dxa" w:w="5112"/>
            <w:vAlign w:val="center"/>
          </w:tcPr>
          <w:p>
            <w:r>
              <w:rPr>
                <w:sz w:val="18"/>
              </w:rPr>
              <w:t>Elderly investor</w:t>
            </w:r>
          </w:p>
        </w:tc>
        <w:tc>
          <w:tcPr>
            <w:tcW w:type="dxa" w:w="5112"/>
            <w:vAlign w:val="center"/>
          </w:tcPr>
          <w:p>
            <w:r>
              <w:rPr>
                <w:sz w:val="18"/>
              </w:rPr>
              <w:t>Use large, clear, low-complexity safety workflows</w:t>
            </w:r>
          </w:p>
        </w:tc>
      </w:tr>
      <w:tr>
        <w:tc>
          <w:tcPr>
            <w:tcW w:type="dxa" w:w="5112"/>
            <w:vAlign w:val="center"/>
          </w:tcPr>
          <w:p>
            <w:r>
              <w:rPr>
                <w:sz w:val="18"/>
              </w:rPr>
              <w:t>Low-literacy/digital-literacy user</w:t>
            </w:r>
          </w:p>
        </w:tc>
        <w:tc>
          <w:tcPr>
            <w:tcW w:type="dxa" w:w="5112"/>
            <w:vAlign w:val="center"/>
          </w:tcPr>
          <w:p>
            <w:r>
              <w:rPr>
                <w:sz w:val="18"/>
              </w:rPr>
              <w:t>Use guided, visual and simple-language explanations</w:t>
            </w:r>
          </w:p>
        </w:tc>
      </w:tr>
    </w:tbl>
    <w:p/>
    <w:p>
      <w:pPr>
        <w:pStyle w:val="Heading1"/>
      </w:pPr>
      <w:r>
        <w:t>4. Application Principles</w:t>
      </w:r>
    </w:p>
    <w:p>
      <w:pPr>
        <w:pStyle w:val="ListBullet"/>
        <w:spacing w:after="40"/>
      </w:pPr>
      <w:r>
        <w:t>Safety before convenience.</w:t>
      </w:r>
    </w:p>
    <w:p>
      <w:pPr>
        <w:pStyle w:val="ListBullet"/>
        <w:spacing w:after="40"/>
      </w:pPr>
      <w:r>
        <w:t>Evidence before conclusions.</w:t>
      </w:r>
    </w:p>
    <w:p>
      <w:pPr>
        <w:pStyle w:val="ListBullet"/>
        <w:spacing w:after="40"/>
      </w:pPr>
      <w:r>
        <w:t>Verification before action.</w:t>
      </w:r>
    </w:p>
    <w:p>
      <w:pPr>
        <w:pStyle w:val="ListBullet"/>
        <w:spacing w:after="40"/>
      </w:pPr>
      <w:r>
        <w:t>AI explains; it does not decide for the investor.</w:t>
      </w:r>
    </w:p>
    <w:p>
      <w:pPr>
        <w:pStyle w:val="ListBullet"/>
        <w:spacing w:after="40"/>
      </w:pPr>
      <w:r>
        <w:t>Never create urgency where none exists.</w:t>
      </w:r>
    </w:p>
    <w:p>
      <w:pPr>
        <w:pStyle w:val="ListBullet"/>
        <w:spacing w:after="40"/>
      </w:pPr>
      <w:r>
        <w:t>Uncertainty must be visible rather than hidden.</w:t>
      </w:r>
    </w:p>
    <w:p>
      <w:pPr>
        <w:pStyle w:val="ListBullet"/>
        <w:spacing w:after="40"/>
      </w:pPr>
      <w:r>
        <w:t>Privacy is the default.</w:t>
      </w:r>
    </w:p>
    <w:p>
      <w:pPr>
        <w:pStyle w:val="ListBullet"/>
        <w:spacing w:after="40"/>
      </w:pPr>
      <w:r>
        <w:t>Regional language is a first-class feature, not a translation afterthought.</w:t>
      </w:r>
    </w:p>
    <w:p>
      <w:pPr>
        <w:pStyle w:val="ListBullet"/>
        <w:spacing w:after="40"/>
      </w:pPr>
      <w:r>
        <w:t>Every important AI finding must be traceable to evidence.</w:t>
      </w:r>
    </w:p>
    <w:p>
      <w:pPr>
        <w:pStyle w:val="ListBullet"/>
        <w:spacing w:after="40"/>
      </w:pPr>
      <w:r>
        <w:t>No investment promotion, prediction or recommendation.</w:t>
      </w:r>
    </w:p>
    <w:p>
      <w:pPr>
        <w:pStyle w:val="Heading1"/>
      </w:pPr>
      <w:r>
        <w:t>5. Application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Area</w:t>
            </w:r>
          </w:p>
        </w:tc>
        <w:tc>
          <w:tcPr>
            <w:tcW w:type="dxa" w:w="3408"/>
            <w:shd w:fill="17324D"/>
          </w:tcPr>
          <w:p>
            <w:r>
              <w:rPr>
                <w:b/>
                <w:color w:val="FFFFFF"/>
                <w:sz w:val="18"/>
              </w:rPr>
              <w:t>Purpose</w:t>
            </w:r>
          </w:p>
        </w:tc>
        <w:tc>
          <w:tcPr>
            <w:tcW w:type="dxa" w:w="3408"/>
            <w:shd w:fill="17324D"/>
          </w:tcPr>
          <w:p>
            <w:r>
              <w:rPr>
                <w:b/>
                <w:color w:val="FFFFFF"/>
                <w:sz w:val="18"/>
              </w:rPr>
              <w:t>Priority</w:t>
            </w:r>
          </w:p>
        </w:tc>
      </w:tr>
      <w:tr>
        <w:tc>
          <w:tcPr>
            <w:tcW w:type="dxa" w:w="3408"/>
            <w:vAlign w:val="center"/>
          </w:tcPr>
          <w:p>
            <w:r>
              <w:rPr>
                <w:sz w:val="18"/>
              </w:rPr>
              <w:t>Home</w:t>
            </w:r>
          </w:p>
        </w:tc>
        <w:tc>
          <w:tcPr>
            <w:tcW w:type="dxa" w:w="3408"/>
            <w:vAlign w:val="center"/>
          </w:tcPr>
          <w:p>
            <w:r>
              <w:rPr>
                <w:sz w:val="18"/>
              </w:rPr>
              <w:t>Explain product and start a safety check</w:t>
            </w:r>
          </w:p>
        </w:tc>
        <w:tc>
          <w:tcPr>
            <w:tcW w:type="dxa" w:w="3408"/>
            <w:vAlign w:val="center"/>
          </w:tcPr>
          <w:p>
            <w:r>
              <w:rPr>
                <w:sz w:val="18"/>
              </w:rPr>
              <w:t>P0</w:t>
            </w:r>
          </w:p>
        </w:tc>
      </w:tr>
      <w:tr>
        <w:tc>
          <w:tcPr>
            <w:tcW w:type="dxa" w:w="3408"/>
            <w:vAlign w:val="center"/>
          </w:tcPr>
          <w:p>
            <w:r>
              <w:rPr>
                <w:sz w:val="18"/>
              </w:rPr>
              <w:t>Check</w:t>
            </w:r>
          </w:p>
        </w:tc>
        <w:tc>
          <w:tcPr>
            <w:tcW w:type="dxa" w:w="3408"/>
            <w:vAlign w:val="center"/>
          </w:tcPr>
          <w:p>
            <w:r>
              <w:rPr>
                <w:sz w:val="18"/>
              </w:rPr>
              <w:t>Accept text, screenshot or document</w:t>
            </w:r>
          </w:p>
        </w:tc>
        <w:tc>
          <w:tcPr>
            <w:tcW w:type="dxa" w:w="3408"/>
            <w:vAlign w:val="center"/>
          </w:tcPr>
          <w:p>
            <w:r>
              <w:rPr>
                <w:sz w:val="18"/>
              </w:rPr>
              <w:t>P0</w:t>
            </w:r>
          </w:p>
        </w:tc>
      </w:tr>
      <w:tr>
        <w:tc>
          <w:tcPr>
            <w:tcW w:type="dxa" w:w="3408"/>
            <w:vAlign w:val="center"/>
          </w:tcPr>
          <w:p>
            <w:r>
              <w:rPr>
                <w:sz w:val="18"/>
              </w:rPr>
              <w:t>Analysis</w:t>
            </w:r>
          </w:p>
        </w:tc>
        <w:tc>
          <w:tcPr>
            <w:tcW w:type="dxa" w:w="3408"/>
            <w:vAlign w:val="center"/>
          </w:tcPr>
          <w:p>
            <w:r>
              <w:rPr>
                <w:sz w:val="18"/>
              </w:rPr>
              <w:t>Show claims, signals and evidence</w:t>
            </w:r>
          </w:p>
        </w:tc>
        <w:tc>
          <w:tcPr>
            <w:tcW w:type="dxa" w:w="3408"/>
            <w:vAlign w:val="center"/>
          </w:tcPr>
          <w:p>
            <w:r>
              <w:rPr>
                <w:sz w:val="18"/>
              </w:rPr>
              <w:t>P0</w:t>
            </w:r>
          </w:p>
        </w:tc>
      </w:tr>
      <w:tr>
        <w:tc>
          <w:tcPr>
            <w:tcW w:type="dxa" w:w="3408"/>
            <w:vAlign w:val="center"/>
          </w:tcPr>
          <w:p>
            <w:r>
              <w:rPr>
                <w:sz w:val="18"/>
              </w:rPr>
              <w:t>Verify</w:t>
            </w:r>
          </w:p>
        </w:tc>
        <w:tc>
          <w:tcPr>
            <w:tcW w:type="dxa" w:w="3408"/>
            <w:vAlign w:val="center"/>
          </w:tcPr>
          <w:p>
            <w:r>
              <w:rPr>
                <w:sz w:val="18"/>
              </w:rPr>
              <w:t>Guide user through verification</w:t>
            </w:r>
          </w:p>
        </w:tc>
        <w:tc>
          <w:tcPr>
            <w:tcW w:type="dxa" w:w="3408"/>
            <w:vAlign w:val="center"/>
          </w:tcPr>
          <w:p>
            <w:r>
              <w:rPr>
                <w:sz w:val="18"/>
              </w:rPr>
              <w:t>P0</w:t>
            </w:r>
          </w:p>
        </w:tc>
      </w:tr>
      <w:tr>
        <w:tc>
          <w:tcPr>
            <w:tcW w:type="dxa" w:w="3408"/>
            <w:vAlign w:val="center"/>
          </w:tcPr>
          <w:p>
            <w:r>
              <w:rPr>
                <w:sz w:val="18"/>
              </w:rPr>
              <w:t>Safety State</w:t>
            </w:r>
          </w:p>
        </w:tc>
        <w:tc>
          <w:tcPr>
            <w:tcW w:type="dxa" w:w="3408"/>
            <w:vAlign w:val="center"/>
          </w:tcPr>
          <w:p>
            <w:r>
              <w:rPr>
                <w:sz w:val="18"/>
              </w:rPr>
              <w:t>Before Action / Uncertain / After Action workflows</w:t>
            </w:r>
          </w:p>
        </w:tc>
        <w:tc>
          <w:tcPr>
            <w:tcW w:type="dxa" w:w="3408"/>
            <w:vAlign w:val="center"/>
          </w:tcPr>
          <w:p>
            <w:r>
              <w:rPr>
                <w:sz w:val="18"/>
              </w:rPr>
              <w:t>P0</w:t>
            </w:r>
          </w:p>
        </w:tc>
      </w:tr>
      <w:tr>
        <w:tc>
          <w:tcPr>
            <w:tcW w:type="dxa" w:w="3408"/>
            <w:vAlign w:val="center"/>
          </w:tcPr>
          <w:p>
            <w:r>
              <w:rPr>
                <w:sz w:val="18"/>
              </w:rPr>
              <w:t>Incident Mode</w:t>
            </w:r>
          </w:p>
        </w:tc>
        <w:tc>
          <w:tcPr>
            <w:tcW w:type="dxa" w:w="3408"/>
            <w:vAlign w:val="center"/>
          </w:tcPr>
          <w:p>
            <w:r>
              <w:rPr>
                <w:sz w:val="18"/>
              </w:rPr>
              <w:t>Organize evidence after suspected harm</w:t>
            </w:r>
          </w:p>
        </w:tc>
        <w:tc>
          <w:tcPr>
            <w:tcW w:type="dxa" w:w="3408"/>
            <w:vAlign w:val="center"/>
          </w:tcPr>
          <w:p>
            <w:r>
              <w:rPr>
                <w:sz w:val="18"/>
              </w:rPr>
              <w:t>P0</w:t>
            </w:r>
          </w:p>
        </w:tc>
      </w:tr>
      <w:tr>
        <w:tc>
          <w:tcPr>
            <w:tcW w:type="dxa" w:w="3408"/>
            <w:vAlign w:val="center"/>
          </w:tcPr>
          <w:p>
            <w:r>
              <w:rPr>
                <w:sz w:val="18"/>
              </w:rPr>
              <w:t>Settings</w:t>
            </w:r>
          </w:p>
        </w:tc>
        <w:tc>
          <w:tcPr>
            <w:tcW w:type="dxa" w:w="3408"/>
            <w:vAlign w:val="center"/>
          </w:tcPr>
          <w:p>
            <w:r>
              <w:rPr>
                <w:sz w:val="18"/>
              </w:rPr>
              <w:t>Language, privacy, deletion and accessibility</w:t>
            </w:r>
          </w:p>
        </w:tc>
        <w:tc>
          <w:tcPr>
            <w:tcW w:type="dxa" w:w="3408"/>
            <w:vAlign w:val="center"/>
          </w:tcPr>
          <w:p>
            <w:r>
              <w:rPr>
                <w:sz w:val="18"/>
              </w:rPr>
              <w:t>P1</w:t>
            </w:r>
          </w:p>
        </w:tc>
      </w:tr>
      <w:tr>
        <w:tc>
          <w:tcPr>
            <w:tcW w:type="dxa" w:w="3408"/>
            <w:vAlign w:val="center"/>
          </w:tcPr>
          <w:p>
            <w:r>
              <w:rPr>
                <w:sz w:val="18"/>
              </w:rPr>
              <w:t>About / Safety</w:t>
            </w:r>
          </w:p>
        </w:tc>
        <w:tc>
          <w:tcPr>
            <w:tcW w:type="dxa" w:w="3408"/>
            <w:vAlign w:val="center"/>
          </w:tcPr>
          <w:p>
            <w:r>
              <w:rPr>
                <w:sz w:val="18"/>
              </w:rPr>
              <w:t>Explain limitations, AI role and guardrails</w:t>
            </w:r>
          </w:p>
        </w:tc>
        <w:tc>
          <w:tcPr>
            <w:tcW w:type="dxa" w:w="3408"/>
            <w:vAlign w:val="center"/>
          </w:tcPr>
          <w:p>
            <w:r>
              <w:rPr>
                <w:sz w:val="18"/>
              </w:rPr>
              <w:t>P1</w:t>
            </w:r>
          </w:p>
        </w:tc>
      </w:tr>
    </w:tbl>
    <w:p/>
    <w:p>
      <w:pPr>
        <w:pStyle w:val="Heading1"/>
      </w:pPr>
      <w:r>
        <w:t>6. End-to-End User Journey</w:t>
      </w:r>
    </w:p>
    <w:p>
      <w:pPr>
        <w:pStyle w:val="ListNumber"/>
        <w:spacing w:after="40"/>
      </w:pPr>
      <w:r>
        <w:t>User opens NiveshGuard.</w:t>
      </w:r>
    </w:p>
    <w:p>
      <w:pPr>
        <w:pStyle w:val="ListNumber"/>
        <w:spacing w:after="40"/>
      </w:pPr>
      <w:r>
        <w:t>User sees a concise safety-first explanation and taps 'Check Something'.</w:t>
      </w:r>
    </w:p>
    <w:p>
      <w:pPr>
        <w:pStyle w:val="ListNumber"/>
        <w:spacing w:after="40"/>
      </w:pPr>
      <w:r>
        <w:t>User selects Screenshot, Text, Document or Paste Content.</w:t>
      </w:r>
    </w:p>
    <w:p>
      <w:pPr>
        <w:pStyle w:val="ListNumber"/>
        <w:spacing w:after="40"/>
      </w:pPr>
      <w:r>
        <w:t>Application explains what it will analyze and what it will not collect.</w:t>
      </w:r>
    </w:p>
    <w:p>
      <w:pPr>
        <w:pStyle w:val="ListNumber"/>
        <w:spacing w:after="40"/>
      </w:pPr>
      <w:r>
        <w:t>User submits the content.</w:t>
      </w:r>
    </w:p>
    <w:p>
      <w:pPr>
        <w:pStyle w:val="ListNumber"/>
        <w:spacing w:after="40"/>
      </w:pPr>
      <w:r>
        <w:t>System validates and processes it.</w:t>
      </w:r>
    </w:p>
    <w:p>
      <w:pPr>
        <w:pStyle w:val="ListNumber"/>
        <w:spacing w:after="40"/>
      </w:pPr>
      <w:r>
        <w:t>Analysis screen shows progress without exposing raw technical errors.</w:t>
      </w:r>
    </w:p>
    <w:p>
      <w:pPr>
        <w:pStyle w:val="ListNumber"/>
        <w:spacing w:after="40"/>
      </w:pPr>
      <w:r>
        <w:t>Results present observable signals, extracted claims and supporting evidence.</w:t>
      </w:r>
    </w:p>
    <w:p>
      <w:pPr>
        <w:pStyle w:val="ListNumber"/>
        <w:spacing w:after="40"/>
      </w:pPr>
      <w:r>
        <w:t>User can inspect 'Why was this flagged?' for each finding.</w:t>
      </w:r>
    </w:p>
    <w:p>
      <w:pPr>
        <w:pStyle w:val="ListNumber"/>
        <w:spacing w:after="40"/>
      </w:pPr>
      <w:r>
        <w:t>Verification screen provides a concrete checklist and controlled authoritative pathways.</w:t>
      </w:r>
    </w:p>
    <w:p>
      <w:pPr>
        <w:pStyle w:val="ListNumber"/>
        <w:spacing w:after="40"/>
      </w:pPr>
      <w:r>
        <w:t>User selects the appropriate safety state: Before Action, Uncertain, or After Action.</w:t>
      </w:r>
    </w:p>
    <w:p>
      <w:pPr>
        <w:pStyle w:val="ListNumber"/>
        <w:spacing w:after="40"/>
      </w:pPr>
      <w:r>
        <w:t>Before Action provides pause/verify steps; Uncertain focuses on missing evidence; After Action organizes incident evidence.</w:t>
      </w:r>
    </w:p>
    <w:p>
      <w:pPr>
        <w:pStyle w:val="ListNumber"/>
        <w:spacing w:after="40"/>
      </w:pPr>
      <w:r>
        <w:t>User can delete the session or explicitly save an incident.</w:t>
      </w:r>
    </w:p>
    <w:p>
      <w:pPr>
        <w:pStyle w:val="Heading1"/>
      </w:pPr>
      <w:r>
        <w:t>7. Screen Requirements</w:t>
      </w:r>
    </w:p>
    <w:p>
      <w:pPr>
        <w:pStyle w:val="Heading2"/>
      </w:pPr>
      <w:r>
        <w:t>7.1 Home / Landing Screen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Element</w:t>
            </w:r>
          </w:p>
        </w:tc>
        <w:tc>
          <w:tcPr>
            <w:tcW w:type="dxa" w:w="5112"/>
            <w:shd w:fill="17324D"/>
          </w:tcPr>
          <w:p>
            <w:r>
              <w:rPr>
                <w:b/>
                <w:color w:val="FFFFFF"/>
                <w:sz w:val="18"/>
              </w:rPr>
              <w:t>Requirement</w:t>
            </w:r>
          </w:p>
        </w:tc>
      </w:tr>
      <w:tr>
        <w:tc>
          <w:tcPr>
            <w:tcW w:type="dxa" w:w="5112"/>
            <w:vAlign w:val="center"/>
          </w:tcPr>
          <w:p>
            <w:r>
              <w:rPr>
                <w:sz w:val="18"/>
              </w:rPr>
              <w:t>Headline</w:t>
            </w:r>
          </w:p>
        </w:tc>
        <w:tc>
          <w:tcPr>
            <w:tcW w:type="dxa" w:w="5112"/>
            <w:vAlign w:val="center"/>
          </w:tcPr>
          <w:p>
            <w:r>
              <w:rPr>
                <w:sz w:val="18"/>
              </w:rPr>
              <w:t>Clearly communicate investor protection, not investment opportunity</w:t>
            </w:r>
          </w:p>
        </w:tc>
      </w:tr>
      <w:tr>
        <w:tc>
          <w:tcPr>
            <w:tcW w:type="dxa" w:w="5112"/>
            <w:vAlign w:val="center"/>
          </w:tcPr>
          <w:p>
            <w:r>
              <w:rPr>
                <w:sz w:val="18"/>
              </w:rPr>
              <w:t>Primary CTA</w:t>
            </w:r>
          </w:p>
        </w:tc>
        <w:tc>
          <w:tcPr>
            <w:tcW w:type="dxa" w:w="5112"/>
            <w:vAlign w:val="center"/>
          </w:tcPr>
          <w:p>
            <w:r>
              <w:rPr>
                <w:sz w:val="18"/>
              </w:rPr>
              <w:t>Check a message / screenshot</w:t>
            </w:r>
          </w:p>
        </w:tc>
      </w:tr>
      <w:tr>
        <w:tc>
          <w:tcPr>
            <w:tcW w:type="dxa" w:w="5112"/>
            <w:vAlign w:val="center"/>
          </w:tcPr>
          <w:p>
            <w:r>
              <w:rPr>
                <w:sz w:val="18"/>
              </w:rPr>
              <w:t>Secondary CTA</w:t>
            </w:r>
          </w:p>
        </w:tc>
        <w:tc>
          <w:tcPr>
            <w:tcW w:type="dxa" w:w="5112"/>
            <w:vAlign w:val="center"/>
          </w:tcPr>
          <w:p>
            <w:r>
              <w:rPr>
                <w:sz w:val="18"/>
              </w:rPr>
              <w:t>Learn how NiveshGuard works</w:t>
            </w:r>
          </w:p>
        </w:tc>
      </w:tr>
      <w:tr>
        <w:tc>
          <w:tcPr>
            <w:tcW w:type="dxa" w:w="5112"/>
            <w:vAlign w:val="center"/>
          </w:tcPr>
          <w:p>
            <w:r>
              <w:rPr>
                <w:sz w:val="18"/>
              </w:rPr>
              <w:t>Trust area</w:t>
            </w:r>
          </w:p>
        </w:tc>
        <w:tc>
          <w:tcPr>
            <w:tcW w:type="dxa" w:w="5112"/>
            <w:vAlign w:val="center"/>
          </w:tcPr>
          <w:p>
            <w:r>
              <w:rPr>
                <w:sz w:val="18"/>
              </w:rPr>
              <w:t>Privacy-first, no OTP/PIN/password, no investment tips</w:t>
            </w:r>
          </w:p>
        </w:tc>
      </w:tr>
      <w:tr>
        <w:tc>
          <w:tcPr>
            <w:tcW w:type="dxa" w:w="5112"/>
            <w:vAlign w:val="center"/>
          </w:tcPr>
          <w:p>
            <w:r>
              <w:rPr>
                <w:sz w:val="18"/>
              </w:rPr>
              <w:t>Supported languages</w:t>
            </w:r>
          </w:p>
        </w:tc>
        <w:tc>
          <w:tcPr>
            <w:tcW w:type="dxa" w:w="5112"/>
            <w:vAlign w:val="center"/>
          </w:tcPr>
          <w:p>
            <w:r>
              <w:rPr>
                <w:sz w:val="18"/>
              </w:rPr>
              <w:t>English, Hindi, Marathi</w:t>
            </w:r>
          </w:p>
        </w:tc>
      </w:tr>
      <w:tr>
        <w:tc>
          <w:tcPr>
            <w:tcW w:type="dxa" w:w="5112"/>
            <w:vAlign w:val="center"/>
          </w:tcPr>
          <w:p>
            <w:r>
              <w:rPr>
                <w:sz w:val="18"/>
              </w:rPr>
              <w:t>How it works</w:t>
            </w:r>
          </w:p>
        </w:tc>
        <w:tc>
          <w:tcPr>
            <w:tcW w:type="dxa" w:w="5112"/>
            <w:vAlign w:val="center"/>
          </w:tcPr>
          <w:p>
            <w:r>
              <w:rPr>
                <w:sz w:val="18"/>
              </w:rPr>
              <w:t>Input → Understand → Verify → Safer next step</w:t>
            </w:r>
          </w:p>
        </w:tc>
      </w:tr>
      <w:tr>
        <w:tc>
          <w:tcPr>
            <w:tcW w:type="dxa" w:w="5112"/>
            <w:vAlign w:val="center"/>
          </w:tcPr>
          <w:p>
            <w:r>
              <w:rPr>
                <w:sz w:val="18"/>
              </w:rPr>
              <w:t>Accessibility</w:t>
            </w:r>
          </w:p>
        </w:tc>
        <w:tc>
          <w:tcPr>
            <w:tcW w:type="dxa" w:w="5112"/>
            <w:vAlign w:val="center"/>
          </w:tcPr>
          <w:p>
            <w:r>
              <w:rPr>
                <w:sz w:val="18"/>
              </w:rPr>
              <w:t>Large type option, high contrast, keyboard support</w:t>
            </w:r>
          </w:p>
        </w:tc>
      </w:tr>
      <w:tr>
        <w:tc>
          <w:tcPr>
            <w:tcW w:type="dxa" w:w="5112"/>
            <w:vAlign w:val="center"/>
          </w:tcPr>
          <w:p>
            <w:r>
              <w:rPr>
                <w:sz w:val="18"/>
              </w:rPr>
              <w:t>Footer</w:t>
            </w:r>
          </w:p>
        </w:tc>
        <w:tc>
          <w:tcPr>
            <w:tcW w:type="dxa" w:w="5112"/>
            <w:vAlign w:val="center"/>
          </w:tcPr>
          <w:p>
            <w:r>
              <w:rPr>
                <w:sz w:val="18"/>
              </w:rPr>
              <w:t>Privacy, safety limitations, source policy, deletion</w:t>
            </w:r>
          </w:p>
        </w:tc>
      </w:tr>
    </w:tbl>
    <w:p/>
    <w:p>
      <w:pPr>
        <w:pStyle w:val="Heading2"/>
      </w:pPr>
      <w:r>
        <w:t>7.2 Check Screen</w:t>
      </w:r>
    </w:p>
    <w:p>
      <w:pPr>
        <w:pStyle w:val="ListBullet"/>
        <w:spacing w:after="40"/>
      </w:pPr>
      <w:r>
        <w:t>Input cards: Screenshot, Paste Text, Upload Document.</w:t>
      </w:r>
    </w:p>
    <w:p>
      <w:pPr>
        <w:pStyle w:val="ListBullet"/>
        <w:spacing w:after="40"/>
      </w:pPr>
      <w:r>
        <w:t>Optional camera/gallery flow on mobile.</w:t>
      </w:r>
    </w:p>
    <w:p>
      <w:pPr>
        <w:pStyle w:val="ListBullet"/>
        <w:spacing w:after="40"/>
      </w:pPr>
      <w:r>
        <w:t>Drag-and-drop on desktop.</w:t>
      </w:r>
    </w:p>
    <w:p>
      <w:pPr>
        <w:pStyle w:val="ListBullet"/>
        <w:spacing w:after="40"/>
      </w:pPr>
      <w:r>
        <w:t>File size/type constraints displayed before upload.</w:t>
      </w:r>
    </w:p>
    <w:p>
      <w:pPr>
        <w:pStyle w:val="ListBullet"/>
        <w:spacing w:after="40"/>
      </w:pPr>
      <w:r>
        <w:t>Explicit statement: 'Never upload OTPs, PINs, passwords or banking credentials.'</w:t>
      </w:r>
    </w:p>
    <w:p>
      <w:pPr>
        <w:pStyle w:val="ListBullet"/>
        <w:spacing w:after="40"/>
      </w:pPr>
      <w:r>
        <w:t>Language selector.</w:t>
      </w:r>
    </w:p>
    <w:p>
      <w:pPr>
        <w:pStyle w:val="ListBullet"/>
        <w:spacing w:after="40"/>
      </w:pPr>
      <w:r>
        <w:t>Simple Mode toggle.</w:t>
      </w:r>
    </w:p>
    <w:p>
      <w:pPr>
        <w:pStyle w:val="ListBullet"/>
        <w:spacing w:after="40"/>
      </w:pPr>
      <w:r>
        <w:t>Continue/Analyze button remains disabled until valid input exists.</w:t>
      </w:r>
    </w:p>
    <w:p>
      <w:pPr>
        <w:pStyle w:val="Heading2"/>
      </w:pPr>
      <w:r>
        <w:t>7.3 Processing Screen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State</w:t>
            </w:r>
          </w:p>
        </w:tc>
        <w:tc>
          <w:tcPr>
            <w:tcW w:type="dxa" w:w="5112"/>
            <w:shd w:fill="17324D"/>
          </w:tcPr>
          <w:p>
            <w:r>
              <w:rPr>
                <w:b/>
                <w:color w:val="FFFFFF"/>
                <w:sz w:val="18"/>
              </w:rPr>
              <w:t>UI behaviour</w:t>
            </w:r>
          </w:p>
        </w:tc>
      </w:tr>
      <w:tr>
        <w:tc>
          <w:tcPr>
            <w:tcW w:type="dxa" w:w="5112"/>
            <w:vAlign w:val="center"/>
          </w:tcPr>
          <w:p>
            <w:r>
              <w:rPr>
                <w:sz w:val="18"/>
              </w:rPr>
              <w:t>Uploading</w:t>
            </w:r>
          </w:p>
        </w:tc>
        <w:tc>
          <w:tcPr>
            <w:tcW w:type="dxa" w:w="5112"/>
            <w:vAlign w:val="center"/>
          </w:tcPr>
          <w:p>
            <w:r>
              <w:rPr>
                <w:sz w:val="18"/>
              </w:rPr>
              <w:t>Progress indicator</w:t>
            </w:r>
          </w:p>
        </w:tc>
      </w:tr>
      <w:tr>
        <w:tc>
          <w:tcPr>
            <w:tcW w:type="dxa" w:w="5112"/>
            <w:vAlign w:val="center"/>
          </w:tcPr>
          <w:p>
            <w:r>
              <w:rPr>
                <w:sz w:val="18"/>
              </w:rPr>
              <w:t>Reading</w:t>
            </w:r>
          </w:p>
        </w:tc>
        <w:tc>
          <w:tcPr>
            <w:tcW w:type="dxa" w:w="5112"/>
            <w:vAlign w:val="center"/>
          </w:tcPr>
          <w:p>
            <w:r>
              <w:rPr>
                <w:sz w:val="18"/>
              </w:rPr>
              <w:t>OCR/extraction status</w:t>
            </w:r>
          </w:p>
        </w:tc>
      </w:tr>
      <w:tr>
        <w:tc>
          <w:tcPr>
            <w:tcW w:type="dxa" w:w="5112"/>
            <w:vAlign w:val="center"/>
          </w:tcPr>
          <w:p>
            <w:r>
              <w:rPr>
                <w:sz w:val="18"/>
              </w:rPr>
              <w:t>Understanding</w:t>
            </w:r>
          </w:p>
        </w:tc>
        <w:tc>
          <w:tcPr>
            <w:tcW w:type="dxa" w:w="5112"/>
            <w:vAlign w:val="center"/>
          </w:tcPr>
          <w:p>
            <w:r>
              <w:rPr>
                <w:sz w:val="18"/>
              </w:rPr>
              <w:t>Analysis status</w:t>
            </w:r>
          </w:p>
        </w:tc>
      </w:tr>
      <w:tr>
        <w:tc>
          <w:tcPr>
            <w:tcW w:type="dxa" w:w="5112"/>
            <w:vAlign w:val="center"/>
          </w:tcPr>
          <w:p>
            <w:r>
              <w:rPr>
                <w:sz w:val="18"/>
              </w:rPr>
              <w:t>Verifying signals</w:t>
            </w:r>
          </w:p>
        </w:tc>
        <w:tc>
          <w:tcPr>
            <w:tcW w:type="dxa" w:w="5112"/>
            <w:vAlign w:val="center"/>
          </w:tcPr>
          <w:p>
            <w:r>
              <w:rPr>
                <w:sz w:val="18"/>
              </w:rPr>
              <w:t>Manipulation analysis status</w:t>
            </w:r>
          </w:p>
        </w:tc>
      </w:tr>
      <w:tr>
        <w:tc>
          <w:tcPr>
            <w:tcW w:type="dxa" w:w="5112"/>
            <w:vAlign w:val="center"/>
          </w:tcPr>
          <w:p>
            <w:r>
              <w:rPr>
                <w:sz w:val="18"/>
              </w:rPr>
              <w:t>Completed</w:t>
            </w:r>
          </w:p>
        </w:tc>
        <w:tc>
          <w:tcPr>
            <w:tcW w:type="dxa" w:w="5112"/>
            <w:vAlign w:val="center"/>
          </w:tcPr>
          <w:p>
            <w:r>
              <w:rPr>
                <w:sz w:val="18"/>
              </w:rPr>
              <w:t>Transition to results</w:t>
            </w:r>
          </w:p>
        </w:tc>
      </w:tr>
      <w:tr>
        <w:tc>
          <w:tcPr>
            <w:tcW w:type="dxa" w:w="5112"/>
            <w:vAlign w:val="center"/>
          </w:tcPr>
          <w:p>
            <w:r>
              <w:rPr>
                <w:sz w:val="18"/>
              </w:rPr>
              <w:t>Failure</w:t>
            </w:r>
          </w:p>
        </w:tc>
        <w:tc>
          <w:tcPr>
            <w:tcW w:type="dxa" w:w="5112"/>
            <w:vAlign w:val="center"/>
          </w:tcPr>
          <w:p>
            <w:r>
              <w:rPr>
                <w:sz w:val="18"/>
              </w:rPr>
              <w:t>Human-readable explanation + retry + alternative input option</w:t>
            </w:r>
          </w:p>
        </w:tc>
      </w:tr>
    </w:tbl>
    <w:p/>
    <w:p>
      <w:pPr>
        <w:pStyle w:val="Heading2"/>
      </w:pPr>
      <w:r>
        <w:t>7.4 Analysis Screen</w:t>
      </w:r>
    </w:p>
    <w:p>
      <w:r>
        <w:rPr>
          <w:b/>
        </w:rPr>
        <w:t>Required structure:</w:t>
      </w:r>
    </w:p>
    <w:p>
      <w:pPr>
        <w:pStyle w:val="ListBullet"/>
        <w:spacing w:after="40"/>
      </w:pPr>
      <w:r>
        <w:t>Safety summary — concise, non-alarmist.</w:t>
      </w:r>
    </w:p>
    <w:p>
      <w:pPr>
        <w:pStyle w:val="ListBullet"/>
        <w:spacing w:after="40"/>
      </w:pPr>
      <w:r>
        <w:t>Signal overview — count/category of detected patterns.</w:t>
      </w:r>
    </w:p>
    <w:p>
      <w:pPr>
        <w:pStyle w:val="ListBullet"/>
        <w:spacing w:after="40"/>
      </w:pPr>
      <w:r>
        <w:t>Claim cards — what the message claims.</w:t>
      </w:r>
    </w:p>
    <w:p>
      <w:pPr>
        <w:pStyle w:val="ListBullet"/>
        <w:spacing w:after="40"/>
      </w:pPr>
      <w:r>
        <w:t>Evidence — exact supporting text or screenshot region.</w:t>
      </w:r>
    </w:p>
    <w:p>
      <w:pPr>
        <w:pStyle w:val="ListBullet"/>
        <w:spacing w:after="40"/>
      </w:pPr>
      <w:r>
        <w:t>Why it matters — plain-language explanation.</w:t>
      </w:r>
    </w:p>
    <w:p>
      <w:pPr>
        <w:pStyle w:val="ListBullet"/>
        <w:spacing w:after="40"/>
      </w:pPr>
      <w:r>
        <w:t>Confidence/uncertainty — visible where applicable.</w:t>
      </w:r>
    </w:p>
    <w:p>
      <w:pPr>
        <w:pStyle w:val="ListBullet"/>
        <w:spacing w:after="40"/>
      </w:pPr>
      <w:r>
        <w:t>Verification CTA — what to check next.</w:t>
      </w:r>
    </w:p>
    <w:p>
      <w:pPr>
        <w:pStyle w:val="ListBullet"/>
        <w:spacing w:after="40"/>
      </w:pPr>
      <w:r>
        <w:t>Safety state selector — Before Action / Uncertain / After Action.</w:t>
      </w:r>
    </w:p>
    <w:p>
      <w:pPr>
        <w:pStyle w:val="Heading2"/>
      </w:pPr>
      <w:r>
        <w:t>7.5 Manipulation Map</w:t>
      </w:r>
    </w:p>
    <w:p>
      <w:r>
        <w:t>The Manipulation Map is a signature feature. It visually connects a communication to observable persuasion signals.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Signal</w:t>
            </w:r>
          </w:p>
        </w:tc>
        <w:tc>
          <w:tcPr>
            <w:tcW w:type="dxa" w:w="5112"/>
            <w:shd w:fill="17324D"/>
          </w:tcPr>
          <w:p>
            <w:r>
              <w:rPr>
                <w:b/>
                <w:color w:val="FFFFFF"/>
                <w:sz w:val="18"/>
              </w:rPr>
              <w:t>Visual content</w:t>
            </w:r>
          </w:p>
        </w:tc>
      </w:tr>
      <w:tr>
        <w:tc>
          <w:tcPr>
            <w:tcW w:type="dxa" w:w="5112"/>
            <w:vAlign w:val="center"/>
          </w:tcPr>
          <w:p>
            <w:r>
              <w:rPr>
                <w:sz w:val="18"/>
              </w:rPr>
              <w:t>Urgency</w:t>
            </w:r>
          </w:p>
        </w:tc>
        <w:tc>
          <w:tcPr>
            <w:tcW w:type="dxa" w:w="5112"/>
            <w:vAlign w:val="center"/>
          </w:tcPr>
          <w:p>
            <w:r>
              <w:rPr>
                <w:sz w:val="18"/>
              </w:rPr>
              <w:t>Highlighted phrase + explanation</w:t>
            </w:r>
          </w:p>
        </w:tc>
      </w:tr>
      <w:tr>
        <w:tc>
          <w:tcPr>
            <w:tcW w:type="dxa" w:w="5112"/>
            <w:vAlign w:val="center"/>
          </w:tcPr>
          <w:p>
            <w:r>
              <w:rPr>
                <w:sz w:val="18"/>
              </w:rPr>
              <w:t>Guaranteed outcome</w:t>
            </w:r>
          </w:p>
        </w:tc>
        <w:tc>
          <w:tcPr>
            <w:tcW w:type="dxa" w:w="5112"/>
            <w:vAlign w:val="center"/>
          </w:tcPr>
          <w:p>
            <w:r>
              <w:rPr>
                <w:sz w:val="18"/>
              </w:rPr>
              <w:t>Claim + why guarantees are risky</w:t>
            </w:r>
          </w:p>
        </w:tc>
      </w:tr>
      <w:tr>
        <w:tc>
          <w:tcPr>
            <w:tcW w:type="dxa" w:w="5112"/>
            <w:vAlign w:val="center"/>
          </w:tcPr>
          <w:p>
            <w:r>
              <w:rPr>
                <w:sz w:val="18"/>
              </w:rPr>
              <w:t>Authority</w:t>
            </w:r>
          </w:p>
        </w:tc>
        <w:tc>
          <w:tcPr>
            <w:tcW w:type="dxa" w:w="5112"/>
            <w:vAlign w:val="center"/>
          </w:tcPr>
          <w:p>
            <w:r>
              <w:rPr>
                <w:sz w:val="18"/>
              </w:rPr>
              <w:t>Claimed authority + verification need</w:t>
            </w:r>
          </w:p>
        </w:tc>
      </w:tr>
      <w:tr>
        <w:tc>
          <w:tcPr>
            <w:tcW w:type="dxa" w:w="5112"/>
            <w:vAlign w:val="center"/>
          </w:tcPr>
          <w:p>
            <w:r>
              <w:rPr>
                <w:sz w:val="18"/>
              </w:rPr>
              <w:t>Scarcity</w:t>
            </w:r>
          </w:p>
        </w:tc>
        <w:tc>
          <w:tcPr>
            <w:tcW w:type="dxa" w:w="5112"/>
            <w:vAlign w:val="center"/>
          </w:tcPr>
          <w:p>
            <w:r>
              <w:rPr>
                <w:sz w:val="18"/>
              </w:rPr>
              <w:t>Limited-time/limited-slot language</w:t>
            </w:r>
          </w:p>
        </w:tc>
      </w:tr>
      <w:tr>
        <w:tc>
          <w:tcPr>
            <w:tcW w:type="dxa" w:w="5112"/>
            <w:vAlign w:val="center"/>
          </w:tcPr>
          <w:p>
            <w:r>
              <w:rPr>
                <w:sz w:val="18"/>
              </w:rPr>
              <w:t>Social proof</w:t>
            </w:r>
          </w:p>
        </w:tc>
        <w:tc>
          <w:tcPr>
            <w:tcW w:type="dxa" w:w="5112"/>
            <w:vAlign w:val="center"/>
          </w:tcPr>
          <w:p>
            <w:r>
              <w:rPr>
                <w:sz w:val="18"/>
              </w:rPr>
              <w:t>Testimonials/popularity claims</w:t>
            </w:r>
          </w:p>
        </w:tc>
      </w:tr>
      <w:tr>
        <w:tc>
          <w:tcPr>
            <w:tcW w:type="dxa" w:w="5112"/>
            <w:vAlign w:val="center"/>
          </w:tcPr>
          <w:p>
            <w:r>
              <w:rPr>
                <w:sz w:val="18"/>
              </w:rPr>
              <w:t>Channel shift</w:t>
            </w:r>
          </w:p>
        </w:tc>
        <w:tc>
          <w:tcPr>
            <w:tcW w:type="dxa" w:w="5112"/>
            <w:vAlign w:val="center"/>
          </w:tcPr>
          <w:p>
            <w:r>
              <w:rPr>
                <w:sz w:val="18"/>
              </w:rPr>
              <w:t>Request to move to another channel</w:t>
            </w:r>
          </w:p>
        </w:tc>
      </w:tr>
      <w:tr>
        <w:tc>
          <w:tcPr>
            <w:tcW w:type="dxa" w:w="5112"/>
            <w:vAlign w:val="center"/>
          </w:tcPr>
          <w:p>
            <w:r>
              <w:rPr>
                <w:sz w:val="18"/>
              </w:rPr>
              <w:t>Credential pressure</w:t>
            </w:r>
          </w:p>
        </w:tc>
        <w:tc>
          <w:tcPr>
            <w:tcW w:type="dxa" w:w="5112"/>
            <w:vAlign w:val="center"/>
          </w:tcPr>
          <w:p>
            <w:r>
              <w:rPr>
                <w:sz w:val="18"/>
              </w:rPr>
              <w:t>OTP/PIN/password/remote-access request</w:t>
            </w:r>
          </w:p>
        </w:tc>
      </w:tr>
    </w:tbl>
    <w:p/>
    <w:p>
      <w:r>
        <w:t>The map must never visually imply that a detected signal alone proves fraud.</w:t>
      </w:r>
    </w:p>
    <w:p>
      <w:pPr>
        <w:pStyle w:val="Heading2"/>
      </w:pPr>
      <w:r>
        <w:t>7.6 Evidence View</w:t>
      </w:r>
    </w:p>
    <w:p>
      <w:pPr>
        <w:pStyle w:val="ListBullet"/>
        <w:spacing w:after="40"/>
      </w:pPr>
      <w:r>
        <w:t>Show original evidence where safe.</w:t>
      </w:r>
    </w:p>
    <w:p>
      <w:pPr>
        <w:pStyle w:val="ListBullet"/>
        <w:spacing w:after="40"/>
      </w:pPr>
      <w:r>
        <w:t>Highlight the exact supporting region/text.</w:t>
      </w:r>
    </w:p>
    <w:p>
      <w:pPr>
        <w:pStyle w:val="ListBullet"/>
        <w:spacing w:after="40"/>
      </w:pPr>
      <w:r>
        <w:t>Allow user to expand/collapse evidence.</w:t>
      </w:r>
    </w:p>
    <w:p>
      <w:pPr>
        <w:pStyle w:val="ListBullet"/>
        <w:spacing w:after="40"/>
      </w:pPr>
      <w:r>
        <w:t>Display OCR uncertainty if text may be inaccurate.</w:t>
      </w:r>
    </w:p>
    <w:p>
      <w:pPr>
        <w:pStyle w:val="ListBullet"/>
        <w:spacing w:after="40"/>
      </w:pPr>
      <w:r>
        <w:t>Never fabricate missing words.</w:t>
      </w:r>
    </w:p>
    <w:p>
      <w:pPr>
        <w:pStyle w:val="ListBullet"/>
        <w:spacing w:after="40"/>
      </w:pPr>
      <w:r>
        <w:t>Offer 'I think this was read incorrectly' correction path for MVP.</w:t>
      </w:r>
    </w:p>
    <w:p>
      <w:pPr>
        <w:pStyle w:val="Heading2"/>
      </w:pPr>
      <w:r>
        <w:t>7.7 Verification Screen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Section</w:t>
            </w:r>
          </w:p>
        </w:tc>
        <w:tc>
          <w:tcPr>
            <w:tcW w:type="dxa" w:w="5112"/>
            <w:shd w:fill="17324D"/>
          </w:tcPr>
          <w:p>
            <w:r>
              <w:rPr>
                <w:b/>
                <w:color w:val="FFFFFF"/>
                <w:sz w:val="18"/>
              </w:rPr>
              <w:t>Requirement</w:t>
            </w:r>
          </w:p>
        </w:tc>
      </w:tr>
      <w:tr>
        <w:tc>
          <w:tcPr>
            <w:tcW w:type="dxa" w:w="5112"/>
            <w:vAlign w:val="center"/>
          </w:tcPr>
          <w:p>
            <w:r>
              <w:rPr>
                <w:sz w:val="18"/>
              </w:rPr>
              <w:t>What to verify</w:t>
            </w:r>
          </w:p>
        </w:tc>
        <w:tc>
          <w:tcPr>
            <w:tcW w:type="dxa" w:w="5112"/>
            <w:vAlign w:val="center"/>
          </w:tcPr>
          <w:p>
            <w:r>
              <w:rPr>
                <w:sz w:val="18"/>
              </w:rPr>
              <w:t>Plain-language claim</w:t>
            </w:r>
          </w:p>
        </w:tc>
      </w:tr>
      <w:tr>
        <w:tc>
          <w:tcPr>
            <w:tcW w:type="dxa" w:w="5112"/>
            <w:vAlign w:val="center"/>
          </w:tcPr>
          <w:p>
            <w:r>
              <w:rPr>
                <w:sz w:val="18"/>
              </w:rPr>
              <w:t>Why verify</w:t>
            </w:r>
          </w:p>
        </w:tc>
        <w:tc>
          <w:tcPr>
            <w:tcW w:type="dxa" w:w="5112"/>
            <w:vAlign w:val="center"/>
          </w:tcPr>
          <w:p>
            <w:r>
              <w:rPr>
                <w:sz w:val="18"/>
              </w:rPr>
              <w:t>Potential consequence of acting without verification</w:t>
            </w:r>
          </w:p>
        </w:tc>
      </w:tr>
      <w:tr>
        <w:tc>
          <w:tcPr>
            <w:tcW w:type="dxa" w:w="5112"/>
            <w:vAlign w:val="center"/>
          </w:tcPr>
          <w:p>
            <w:r>
              <w:rPr>
                <w:sz w:val="18"/>
              </w:rPr>
              <w:t>Where to verify</w:t>
            </w:r>
          </w:p>
        </w:tc>
        <w:tc>
          <w:tcPr>
            <w:tcW w:type="dxa" w:w="5112"/>
            <w:vAlign w:val="center"/>
          </w:tcPr>
          <w:p>
            <w:r>
              <w:rPr>
                <w:sz w:val="18"/>
              </w:rPr>
              <w:t>Controlled authoritative pathway</w:t>
            </w:r>
          </w:p>
        </w:tc>
      </w:tr>
      <w:tr>
        <w:tc>
          <w:tcPr>
            <w:tcW w:type="dxa" w:w="5112"/>
            <w:vAlign w:val="center"/>
          </w:tcPr>
          <w:p>
            <w:r>
              <w:rPr>
                <w:sz w:val="18"/>
              </w:rPr>
              <w:t>What not to do</w:t>
            </w:r>
          </w:p>
        </w:tc>
        <w:tc>
          <w:tcPr>
            <w:tcW w:type="dxa" w:w="5112"/>
            <w:vAlign w:val="center"/>
          </w:tcPr>
          <w:p>
            <w:r>
              <w:rPr>
                <w:sz w:val="18"/>
              </w:rPr>
              <w:t>Do not use contact details supplied only by the suspicious message</w:t>
            </w:r>
          </w:p>
        </w:tc>
      </w:tr>
      <w:tr>
        <w:tc>
          <w:tcPr>
            <w:tcW w:type="dxa" w:w="5112"/>
            <w:vAlign w:val="center"/>
          </w:tcPr>
          <w:p>
            <w:r>
              <w:rPr>
                <w:sz w:val="18"/>
              </w:rPr>
              <w:t>Checklist</w:t>
            </w:r>
          </w:p>
        </w:tc>
        <w:tc>
          <w:tcPr>
            <w:tcW w:type="dxa" w:w="5112"/>
            <w:vAlign w:val="center"/>
          </w:tcPr>
          <w:p>
            <w:r>
              <w:rPr>
                <w:sz w:val="18"/>
              </w:rPr>
              <w:t>User can mark verification steps completed</w:t>
            </w:r>
          </w:p>
        </w:tc>
      </w:tr>
      <w:tr>
        <w:tc>
          <w:tcPr>
            <w:tcW w:type="dxa" w:w="5112"/>
            <w:vAlign w:val="center"/>
          </w:tcPr>
          <w:p>
            <w:r>
              <w:rPr>
                <w:sz w:val="18"/>
              </w:rPr>
              <w:t>Uncertainty</w:t>
            </w:r>
          </w:p>
        </w:tc>
        <w:tc>
          <w:tcPr>
            <w:tcW w:type="dxa" w:w="5112"/>
            <w:vAlign w:val="center"/>
          </w:tcPr>
          <w:p>
            <w:r>
              <w:rPr>
                <w:sz w:val="18"/>
              </w:rPr>
              <w:t>Clearly show unresolved claims</w:t>
            </w:r>
          </w:p>
        </w:tc>
      </w:tr>
    </w:tbl>
    <w:p/>
    <w:p>
      <w:pPr>
        <w:pStyle w:val="Heading2"/>
      </w:pPr>
      <w:r>
        <w:t>7.8 Safety State: Before Action</w:t>
      </w:r>
    </w:p>
    <w:p>
      <w:pPr>
        <w:pStyle w:val="ListBullet"/>
        <w:spacing w:after="40"/>
      </w:pPr>
      <w:r>
        <w:t>Primary message: pause before sending money, credentials or personal information.</w:t>
      </w:r>
    </w:p>
    <w:p>
      <w:pPr>
        <w:pStyle w:val="ListBullet"/>
        <w:spacing w:after="40"/>
      </w:pPr>
      <w:r>
        <w:t>Show verification checklist.</w:t>
      </w:r>
    </w:p>
    <w:p>
      <w:pPr>
        <w:pStyle w:val="ListBullet"/>
        <w:spacing w:after="40"/>
      </w:pPr>
      <w:r>
        <w:t>Show sensitive-data warning if the communication requests OTP/PIN/password.</w:t>
      </w:r>
    </w:p>
    <w:p>
      <w:pPr>
        <w:pStyle w:val="ListBullet"/>
        <w:spacing w:after="40"/>
      </w:pPr>
      <w:r>
        <w:t>Provide a safe alternative channel instruction.</w:t>
      </w:r>
    </w:p>
    <w:p>
      <w:pPr>
        <w:pStyle w:val="ListBullet"/>
        <w:spacing w:after="40"/>
      </w:pPr>
      <w:r>
        <w:t>Never recommend a financial product or investment.</w:t>
      </w:r>
    </w:p>
    <w:p>
      <w:pPr>
        <w:pStyle w:val="Heading2"/>
      </w:pPr>
      <w:r>
        <w:t>7.9 Safety State: Uncertain</w:t>
      </w:r>
    </w:p>
    <w:p>
      <w:pPr>
        <w:pStyle w:val="ListBullet"/>
        <w:spacing w:after="40"/>
      </w:pPr>
      <w:r>
        <w:t>Explain exactly what cannot be established.</w:t>
      </w:r>
    </w:p>
    <w:p>
      <w:pPr>
        <w:pStyle w:val="ListBullet"/>
        <w:spacing w:after="40"/>
      </w:pPr>
      <w:r>
        <w:t>Show missing evidence.</w:t>
      </w:r>
    </w:p>
    <w:p>
      <w:pPr>
        <w:pStyle w:val="ListBullet"/>
        <w:spacing w:after="40"/>
      </w:pPr>
      <w:r>
        <w:t>Recommend independent verification rather than guessing.</w:t>
      </w:r>
    </w:p>
    <w:p>
      <w:pPr>
        <w:pStyle w:val="ListBullet"/>
        <w:spacing w:after="40"/>
      </w:pPr>
      <w:r>
        <w:t>Allow user to add another screenshot/document/text item.</w:t>
      </w:r>
    </w:p>
    <w:p>
      <w:pPr>
        <w:pStyle w:val="ListBullet"/>
        <w:spacing w:after="40"/>
      </w:pPr>
      <w:r>
        <w:t>Do not convert uncertainty into a risk score that looks authoritative.</w:t>
      </w:r>
    </w:p>
    <w:p>
      <w:pPr>
        <w:pStyle w:val="Heading2"/>
      </w:pPr>
      <w:r>
        <w:t>7.10 Safety State: After Action</w:t>
      </w:r>
    </w:p>
    <w:p>
      <w:pPr>
        <w:pStyle w:val="ListBullet"/>
        <w:spacing w:after="40"/>
      </w:pPr>
      <w:r>
        <w:t>Ask what happened using structured, optional fields.</w:t>
      </w:r>
    </w:p>
    <w:p>
      <w:pPr>
        <w:pStyle w:val="ListBullet"/>
        <w:spacing w:after="40"/>
      </w:pPr>
      <w:r>
        <w:t>Capture event date/time if user chooses.</w:t>
      </w:r>
    </w:p>
    <w:p>
      <w:pPr>
        <w:pStyle w:val="ListBullet"/>
        <w:spacing w:after="40"/>
      </w:pPr>
      <w:r>
        <w:t>Organize screenshots/documents/transaction references provided by the user.</w:t>
      </w:r>
    </w:p>
    <w:p>
      <w:pPr>
        <w:pStyle w:val="ListBullet"/>
        <w:spacing w:after="40"/>
      </w:pPr>
      <w:r>
        <w:t>Generate a factual incident summary.</w:t>
      </w:r>
    </w:p>
    <w:p>
      <w:pPr>
        <w:pStyle w:val="ListBullet"/>
        <w:spacing w:after="40"/>
      </w:pPr>
      <w:r>
        <w:t>Show appropriate official reporting/assistance pathways from the verification registry.</w:t>
      </w:r>
    </w:p>
    <w:p>
      <w:pPr>
        <w:pStyle w:val="ListBullet"/>
        <w:spacing w:after="40"/>
      </w:pPr>
      <w:r>
        <w:t>Never promise recovery of funds.</w:t>
      </w:r>
    </w:p>
    <w:p>
      <w:pPr>
        <w:pStyle w:val="Heading2"/>
      </w:pPr>
      <w:r>
        <w:t>7.11 Incident Timeline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Timeline item</w:t>
            </w:r>
          </w:p>
        </w:tc>
        <w:tc>
          <w:tcPr>
            <w:tcW w:type="dxa" w:w="5112"/>
            <w:shd w:fill="17324D"/>
          </w:tcPr>
          <w:p>
            <w:r>
              <w:rPr>
                <w:b/>
                <w:color w:val="FFFFFF"/>
                <w:sz w:val="18"/>
              </w:rPr>
              <w:t>Examples</w:t>
            </w:r>
          </w:p>
        </w:tc>
      </w:tr>
      <w:tr>
        <w:tc>
          <w:tcPr>
            <w:tcW w:type="dxa" w:w="5112"/>
            <w:vAlign w:val="center"/>
          </w:tcPr>
          <w:p>
            <w:r>
              <w:rPr>
                <w:sz w:val="18"/>
              </w:rPr>
              <w:t>Communication received</w:t>
            </w:r>
          </w:p>
        </w:tc>
        <w:tc>
          <w:tcPr>
            <w:tcW w:type="dxa" w:w="5112"/>
            <w:vAlign w:val="center"/>
          </w:tcPr>
          <w:p>
            <w:r>
              <w:rPr>
                <w:sz w:val="18"/>
              </w:rPr>
              <w:t>Message/email/call details entered by user</w:t>
            </w:r>
          </w:p>
        </w:tc>
      </w:tr>
      <w:tr>
        <w:tc>
          <w:tcPr>
            <w:tcW w:type="dxa" w:w="5112"/>
            <w:vAlign w:val="center"/>
          </w:tcPr>
          <w:p>
            <w:r>
              <w:rPr>
                <w:sz w:val="18"/>
              </w:rPr>
              <w:t>Action taken</w:t>
            </w:r>
          </w:p>
        </w:tc>
        <w:tc>
          <w:tcPr>
            <w:tcW w:type="dxa" w:w="5112"/>
            <w:vAlign w:val="center"/>
          </w:tcPr>
          <w:p>
            <w:r>
              <w:rPr>
                <w:sz w:val="18"/>
              </w:rPr>
              <w:t>Payment/contact/click/etc. voluntarily recorded</w:t>
            </w:r>
          </w:p>
        </w:tc>
      </w:tr>
      <w:tr>
        <w:tc>
          <w:tcPr>
            <w:tcW w:type="dxa" w:w="5112"/>
            <w:vAlign w:val="center"/>
          </w:tcPr>
          <w:p>
            <w:r>
              <w:rPr>
                <w:sz w:val="18"/>
              </w:rPr>
              <w:t>Evidence added</w:t>
            </w:r>
          </w:p>
        </w:tc>
        <w:tc>
          <w:tcPr>
            <w:tcW w:type="dxa" w:w="5112"/>
            <w:vAlign w:val="center"/>
          </w:tcPr>
          <w:p>
            <w:r>
              <w:rPr>
                <w:sz w:val="18"/>
              </w:rPr>
              <w:t>Screenshot/document</w:t>
            </w:r>
          </w:p>
        </w:tc>
      </w:tr>
      <w:tr>
        <w:tc>
          <w:tcPr>
            <w:tcW w:type="dxa" w:w="5112"/>
            <w:vAlign w:val="center"/>
          </w:tcPr>
          <w:p>
            <w:r>
              <w:rPr>
                <w:sz w:val="18"/>
              </w:rPr>
              <w:t>Verification attempt</w:t>
            </w:r>
          </w:p>
        </w:tc>
        <w:tc>
          <w:tcPr>
            <w:tcW w:type="dxa" w:w="5112"/>
            <w:vAlign w:val="center"/>
          </w:tcPr>
          <w:p>
            <w:r>
              <w:rPr>
                <w:sz w:val="18"/>
              </w:rPr>
              <w:t>User-marked verification step</w:t>
            </w:r>
          </w:p>
        </w:tc>
      </w:tr>
      <w:tr>
        <w:tc>
          <w:tcPr>
            <w:tcW w:type="dxa" w:w="5112"/>
            <w:vAlign w:val="center"/>
          </w:tcPr>
          <w:p>
            <w:r>
              <w:rPr>
                <w:sz w:val="18"/>
              </w:rPr>
              <w:t>Report action</w:t>
            </w:r>
          </w:p>
        </w:tc>
        <w:tc>
          <w:tcPr>
            <w:tcW w:type="dxa" w:w="5112"/>
            <w:vAlign w:val="center"/>
          </w:tcPr>
          <w:p>
            <w:r>
              <w:rPr>
                <w:sz w:val="18"/>
              </w:rPr>
              <w:t>User records that an official report was submitted</w:t>
            </w:r>
          </w:p>
        </w:tc>
      </w:tr>
    </w:tbl>
    <w:p/>
    <w:p>
      <w:pPr>
        <w:pStyle w:val="Heading2"/>
      </w:pPr>
      <w:r>
        <w:t>7.12 Settings</w:t>
      </w:r>
    </w:p>
    <w:p>
      <w:pPr>
        <w:pStyle w:val="ListBullet"/>
        <w:spacing w:after="40"/>
      </w:pPr>
      <w:r>
        <w:t>Language: English / Hindi / Marathi.</w:t>
      </w:r>
    </w:p>
    <w:p>
      <w:pPr>
        <w:pStyle w:val="ListBullet"/>
        <w:spacing w:after="40"/>
      </w:pPr>
      <w:r>
        <w:t>Simple Mode.</w:t>
      </w:r>
    </w:p>
    <w:p>
      <w:pPr>
        <w:pStyle w:val="ListBullet"/>
        <w:spacing w:after="40"/>
      </w:pPr>
      <w:r>
        <w:t>Accessibility preferences.</w:t>
      </w:r>
    </w:p>
    <w:p>
      <w:pPr>
        <w:pStyle w:val="ListBullet"/>
        <w:spacing w:after="40"/>
      </w:pPr>
      <w:r>
        <w:t>Privacy explanation.</w:t>
      </w:r>
    </w:p>
    <w:p>
      <w:pPr>
        <w:pStyle w:val="ListBullet"/>
        <w:spacing w:after="40"/>
      </w:pPr>
      <w:r>
        <w:t>Delete current analysis.</w:t>
      </w:r>
    </w:p>
    <w:p>
      <w:pPr>
        <w:pStyle w:val="ListBullet"/>
        <w:spacing w:after="40"/>
      </w:pPr>
      <w:r>
        <w:t>Delete saved incident.</w:t>
      </w:r>
    </w:p>
    <w:p>
      <w:pPr>
        <w:pStyle w:val="ListBullet"/>
        <w:spacing w:after="40"/>
      </w:pPr>
      <w:r>
        <w:t>About AI limitations.</w:t>
      </w:r>
    </w:p>
    <w:p>
      <w:pPr>
        <w:pStyle w:val="Heading1"/>
      </w:pPr>
      <w:r>
        <w:t>8. Bharat-First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Requirement</w:t>
            </w:r>
          </w:p>
        </w:tc>
        <w:tc>
          <w:tcPr>
            <w:tcW w:type="dxa" w:w="5112"/>
            <w:shd w:fill="17324D"/>
          </w:tcPr>
          <w:p>
            <w:r>
              <w:rPr>
                <w:b/>
                <w:color w:val="FFFFFF"/>
                <w:sz w:val="18"/>
              </w:rPr>
              <w:t>MVP behaviour</w:t>
            </w:r>
          </w:p>
        </w:tc>
      </w:tr>
      <w:tr>
        <w:tc>
          <w:tcPr>
            <w:tcW w:type="dxa" w:w="5112"/>
            <w:vAlign w:val="center"/>
          </w:tcPr>
          <w:p>
            <w:r>
              <w:rPr>
                <w:sz w:val="18"/>
              </w:rPr>
              <w:t>Languages</w:t>
            </w:r>
          </w:p>
        </w:tc>
        <w:tc>
          <w:tcPr>
            <w:tcW w:type="dxa" w:w="5112"/>
            <w:vAlign w:val="center"/>
          </w:tcPr>
          <w:p>
            <w:r>
              <w:rPr>
                <w:sz w:val="18"/>
              </w:rPr>
              <w:t>English, Hindi, Marathi</w:t>
            </w:r>
          </w:p>
        </w:tc>
      </w:tr>
      <w:tr>
        <w:tc>
          <w:tcPr>
            <w:tcW w:type="dxa" w:w="5112"/>
            <w:vAlign w:val="center"/>
          </w:tcPr>
          <w:p>
            <w:r>
              <w:rPr>
                <w:sz w:val="18"/>
              </w:rPr>
              <w:t>Low bandwidth</w:t>
            </w:r>
          </w:p>
        </w:tc>
        <w:tc>
          <w:tcPr>
            <w:tcW w:type="dxa" w:w="5112"/>
            <w:vAlign w:val="center"/>
          </w:tcPr>
          <w:p>
            <w:r>
              <w:rPr>
                <w:sz w:val="18"/>
              </w:rPr>
              <w:t>Minimal assets, compressed uploads, no unnecessary animation on low-end devices</w:t>
            </w:r>
          </w:p>
        </w:tc>
      </w:tr>
      <w:tr>
        <w:tc>
          <w:tcPr>
            <w:tcW w:type="dxa" w:w="5112"/>
            <w:vAlign w:val="center"/>
          </w:tcPr>
          <w:p>
            <w:r>
              <w:rPr>
                <w:sz w:val="18"/>
              </w:rPr>
              <w:t>Voice readiness</w:t>
            </w:r>
          </w:p>
        </w:tc>
        <w:tc>
          <w:tcPr>
            <w:tcW w:type="dxa" w:w="5112"/>
            <w:vAlign w:val="center"/>
          </w:tcPr>
          <w:p>
            <w:r>
              <w:rPr>
                <w:sz w:val="18"/>
              </w:rPr>
              <w:t>Architecture should allow future speech input/output without redesign</w:t>
            </w:r>
          </w:p>
        </w:tc>
      </w:tr>
      <w:tr>
        <w:tc>
          <w:tcPr>
            <w:tcW w:type="dxa" w:w="5112"/>
            <w:vAlign w:val="center"/>
          </w:tcPr>
          <w:p>
            <w:r>
              <w:rPr>
                <w:sz w:val="18"/>
              </w:rPr>
              <w:t>Literacy</w:t>
            </w:r>
          </w:p>
        </w:tc>
        <w:tc>
          <w:tcPr>
            <w:tcW w:type="dxa" w:w="5112"/>
            <w:vAlign w:val="center"/>
          </w:tcPr>
          <w:p>
            <w:r>
              <w:rPr>
                <w:sz w:val="18"/>
              </w:rPr>
              <w:t>Plain-language explanations and visual cues</w:t>
            </w:r>
          </w:p>
        </w:tc>
      </w:tr>
      <w:tr>
        <w:tc>
          <w:tcPr>
            <w:tcW w:type="dxa" w:w="5112"/>
            <w:vAlign w:val="center"/>
          </w:tcPr>
          <w:p>
            <w:r>
              <w:rPr>
                <w:sz w:val="18"/>
              </w:rPr>
              <w:t>Elderly users</w:t>
            </w:r>
          </w:p>
        </w:tc>
        <w:tc>
          <w:tcPr>
            <w:tcW w:type="dxa" w:w="5112"/>
            <w:vAlign w:val="center"/>
          </w:tcPr>
          <w:p>
            <w:r>
              <w:rPr>
                <w:sz w:val="18"/>
              </w:rPr>
              <w:t>Large controls, strong contrast, short steps</w:t>
            </w:r>
          </w:p>
        </w:tc>
      </w:tr>
      <w:tr>
        <w:tc>
          <w:tcPr>
            <w:tcW w:type="dxa" w:w="5112"/>
            <w:vAlign w:val="center"/>
          </w:tcPr>
          <w:p>
            <w:r>
              <w:rPr>
                <w:sz w:val="18"/>
              </w:rPr>
              <w:t>Regional context</w:t>
            </w:r>
          </w:p>
        </w:tc>
        <w:tc>
          <w:tcPr>
            <w:tcW w:type="dxa" w:w="5112"/>
            <w:vAlign w:val="center"/>
          </w:tcPr>
          <w:p>
            <w:r>
              <w:rPr>
                <w:sz w:val="18"/>
              </w:rPr>
              <w:t>Examples should reflect Indian financial scam patterns</w:t>
            </w:r>
          </w:p>
        </w:tc>
      </w:tr>
      <w:tr>
        <w:tc>
          <w:tcPr>
            <w:tcW w:type="dxa" w:w="5112"/>
            <w:vAlign w:val="center"/>
          </w:tcPr>
          <w:p>
            <w:r>
              <w:rPr>
                <w:sz w:val="18"/>
              </w:rPr>
              <w:t>Connectivity failure</w:t>
            </w:r>
          </w:p>
        </w:tc>
        <w:tc>
          <w:tcPr>
            <w:tcW w:type="dxa" w:w="5112"/>
            <w:vAlign w:val="center"/>
          </w:tcPr>
          <w:p>
            <w:r>
              <w:rPr>
                <w:sz w:val="18"/>
              </w:rPr>
              <w:t>Graceful retry and resumable/reselectable input</w:t>
            </w:r>
          </w:p>
        </w:tc>
      </w:tr>
    </w:tbl>
    <w:p/>
    <w:p>
      <w:pPr>
        <w:pStyle w:val="Heading1"/>
      </w:pPr>
      <w:r>
        <w:t>9. Accessibility Requirements</w:t>
      </w:r>
    </w:p>
    <w:p>
      <w:pPr>
        <w:pStyle w:val="ListBullet"/>
        <w:spacing w:after="40"/>
      </w:pPr>
      <w:r>
        <w:t>Keyboard navigable.</w:t>
      </w:r>
    </w:p>
    <w:p>
      <w:pPr>
        <w:pStyle w:val="ListBullet"/>
        <w:spacing w:after="40"/>
      </w:pPr>
      <w:r>
        <w:t>Visible focus states.</w:t>
      </w:r>
    </w:p>
    <w:p>
      <w:pPr>
        <w:pStyle w:val="ListBullet"/>
        <w:spacing w:after="40"/>
      </w:pPr>
      <w:r>
        <w:t>Semantic headings and labels.</w:t>
      </w:r>
    </w:p>
    <w:p>
      <w:pPr>
        <w:pStyle w:val="ListBullet"/>
        <w:spacing w:after="40"/>
      </w:pPr>
      <w:r>
        <w:t>Accessible form errors.</w:t>
      </w:r>
    </w:p>
    <w:p>
      <w:pPr>
        <w:pStyle w:val="ListBullet"/>
        <w:spacing w:after="40"/>
      </w:pPr>
      <w:r>
        <w:t>Minimum readable contrast.</w:t>
      </w:r>
    </w:p>
    <w:p>
      <w:pPr>
        <w:pStyle w:val="ListBullet"/>
        <w:spacing w:after="40"/>
      </w:pPr>
      <w:r>
        <w:t>Touch targets suitable for mobile users.</w:t>
      </w:r>
    </w:p>
    <w:p>
      <w:pPr>
        <w:pStyle w:val="ListBullet"/>
        <w:spacing w:after="40"/>
      </w:pPr>
      <w:r>
        <w:t>Do not communicate critical information by colour alone.</w:t>
      </w:r>
    </w:p>
    <w:p>
      <w:pPr>
        <w:pStyle w:val="ListBullet"/>
        <w:spacing w:after="40"/>
      </w:pPr>
      <w:r>
        <w:t>Screen-reader labels for icons.</w:t>
      </w:r>
    </w:p>
    <w:p>
      <w:pPr>
        <w:pStyle w:val="ListBullet"/>
        <w:spacing w:after="40"/>
      </w:pPr>
      <w:r>
        <w:t>Respect reduced-motion preference.</w:t>
      </w:r>
    </w:p>
    <w:p>
      <w:pPr>
        <w:pStyle w:val="ListBullet"/>
        <w:spacing w:after="40"/>
      </w:pPr>
      <w:r>
        <w:t>Simple Mode must preserve meaning, not merely shorten text.</w:t>
      </w:r>
    </w:p>
    <w:p>
      <w:pPr>
        <w:pStyle w:val="Heading1"/>
      </w:pPr>
      <w:r>
        <w:t>10.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ID</w:t>
            </w:r>
          </w:p>
        </w:tc>
        <w:tc>
          <w:tcPr>
            <w:tcW w:type="dxa" w:w="3408"/>
            <w:shd w:fill="17324D"/>
          </w:tcPr>
          <w:p>
            <w:r>
              <w:rPr>
                <w:b/>
                <w:color w:val="FFFFFF"/>
                <w:sz w:val="18"/>
              </w:rPr>
              <w:t>Requirement</w:t>
            </w:r>
          </w:p>
        </w:tc>
        <w:tc>
          <w:tcPr>
            <w:tcW w:type="dxa" w:w="3408"/>
            <w:shd w:fill="17324D"/>
          </w:tcPr>
          <w:p>
            <w:r>
              <w:rPr>
                <w:b/>
                <w:color w:val="FFFFFF"/>
                <w:sz w:val="18"/>
              </w:rPr>
              <w:t>Priority</w:t>
            </w:r>
          </w:p>
        </w:tc>
      </w:tr>
      <w:tr>
        <w:tc>
          <w:tcPr>
            <w:tcW w:type="dxa" w:w="3408"/>
            <w:vAlign w:val="center"/>
          </w:tcPr>
          <w:p>
            <w:r>
              <w:rPr>
                <w:sz w:val="18"/>
              </w:rPr>
              <w:t>FR-001</w:t>
            </w:r>
          </w:p>
        </w:tc>
        <w:tc>
          <w:tcPr>
            <w:tcW w:type="dxa" w:w="3408"/>
            <w:vAlign w:val="center"/>
          </w:tcPr>
          <w:p>
            <w:r>
              <w:rPr>
                <w:sz w:val="18"/>
              </w:rPr>
              <w:t>User can start a safety check without creating an account</w:t>
            </w:r>
          </w:p>
        </w:tc>
        <w:tc>
          <w:tcPr>
            <w:tcW w:type="dxa" w:w="3408"/>
            <w:vAlign w:val="center"/>
          </w:tcPr>
          <w:p>
            <w:r>
              <w:rPr>
                <w:sz w:val="18"/>
              </w:rPr>
              <w:t>P0</w:t>
            </w:r>
          </w:p>
        </w:tc>
      </w:tr>
      <w:tr>
        <w:tc>
          <w:tcPr>
            <w:tcW w:type="dxa" w:w="3408"/>
            <w:vAlign w:val="center"/>
          </w:tcPr>
          <w:p>
            <w:r>
              <w:rPr>
                <w:sz w:val="18"/>
              </w:rPr>
              <w:t>FR-002</w:t>
            </w:r>
          </w:p>
        </w:tc>
        <w:tc>
          <w:tcPr>
            <w:tcW w:type="dxa" w:w="3408"/>
            <w:vAlign w:val="center"/>
          </w:tcPr>
          <w:p>
            <w:r>
              <w:rPr>
                <w:sz w:val="18"/>
              </w:rPr>
              <w:t>User can submit text</w:t>
            </w:r>
          </w:p>
        </w:tc>
        <w:tc>
          <w:tcPr>
            <w:tcW w:type="dxa" w:w="3408"/>
            <w:vAlign w:val="center"/>
          </w:tcPr>
          <w:p>
            <w:r>
              <w:rPr>
                <w:sz w:val="18"/>
              </w:rPr>
              <w:t>P0</w:t>
            </w:r>
          </w:p>
        </w:tc>
      </w:tr>
      <w:tr>
        <w:tc>
          <w:tcPr>
            <w:tcW w:type="dxa" w:w="3408"/>
            <w:vAlign w:val="center"/>
          </w:tcPr>
          <w:p>
            <w:r>
              <w:rPr>
                <w:sz w:val="18"/>
              </w:rPr>
              <w:t>FR-003</w:t>
            </w:r>
          </w:p>
        </w:tc>
        <w:tc>
          <w:tcPr>
            <w:tcW w:type="dxa" w:w="3408"/>
            <w:vAlign w:val="center"/>
          </w:tcPr>
          <w:p>
            <w:r>
              <w:rPr>
                <w:sz w:val="18"/>
              </w:rPr>
              <w:t>User can submit screenshots/images</w:t>
            </w:r>
          </w:p>
        </w:tc>
        <w:tc>
          <w:tcPr>
            <w:tcW w:type="dxa" w:w="3408"/>
            <w:vAlign w:val="center"/>
          </w:tcPr>
          <w:p>
            <w:r>
              <w:rPr>
                <w:sz w:val="18"/>
              </w:rPr>
              <w:t>P0</w:t>
            </w:r>
          </w:p>
        </w:tc>
      </w:tr>
      <w:tr>
        <w:tc>
          <w:tcPr>
            <w:tcW w:type="dxa" w:w="3408"/>
            <w:vAlign w:val="center"/>
          </w:tcPr>
          <w:p>
            <w:r>
              <w:rPr>
                <w:sz w:val="18"/>
              </w:rPr>
              <w:t>FR-004</w:t>
            </w:r>
          </w:p>
        </w:tc>
        <w:tc>
          <w:tcPr>
            <w:tcW w:type="dxa" w:w="3408"/>
            <w:vAlign w:val="center"/>
          </w:tcPr>
          <w:p>
            <w:r>
              <w:rPr>
                <w:sz w:val="18"/>
              </w:rPr>
              <w:t>User can submit supported documents</w:t>
            </w:r>
          </w:p>
        </w:tc>
        <w:tc>
          <w:tcPr>
            <w:tcW w:type="dxa" w:w="3408"/>
            <w:vAlign w:val="center"/>
          </w:tcPr>
          <w:p>
            <w:r>
              <w:rPr>
                <w:sz w:val="18"/>
              </w:rPr>
              <w:t>P0</w:t>
            </w:r>
          </w:p>
        </w:tc>
      </w:tr>
      <w:tr>
        <w:tc>
          <w:tcPr>
            <w:tcW w:type="dxa" w:w="3408"/>
            <w:vAlign w:val="center"/>
          </w:tcPr>
          <w:p>
            <w:r>
              <w:rPr>
                <w:sz w:val="18"/>
              </w:rPr>
              <w:t>FR-005</w:t>
            </w:r>
          </w:p>
        </w:tc>
        <w:tc>
          <w:tcPr>
            <w:tcW w:type="dxa" w:w="3408"/>
            <w:vAlign w:val="center"/>
          </w:tcPr>
          <w:p>
            <w:r>
              <w:rPr>
                <w:sz w:val="18"/>
              </w:rPr>
              <w:t>System extracts claims/entities with evidence</w:t>
            </w:r>
          </w:p>
        </w:tc>
        <w:tc>
          <w:tcPr>
            <w:tcW w:type="dxa" w:w="3408"/>
            <w:vAlign w:val="center"/>
          </w:tcPr>
          <w:p>
            <w:r>
              <w:rPr>
                <w:sz w:val="18"/>
              </w:rPr>
              <w:t>P0</w:t>
            </w:r>
          </w:p>
        </w:tc>
      </w:tr>
      <w:tr>
        <w:tc>
          <w:tcPr>
            <w:tcW w:type="dxa" w:w="3408"/>
            <w:vAlign w:val="center"/>
          </w:tcPr>
          <w:p>
            <w:r>
              <w:rPr>
                <w:sz w:val="18"/>
              </w:rPr>
              <w:t>FR-006</w:t>
            </w:r>
          </w:p>
        </w:tc>
        <w:tc>
          <w:tcPr>
            <w:tcW w:type="dxa" w:w="3408"/>
            <w:vAlign w:val="center"/>
          </w:tcPr>
          <w:p>
            <w:r>
              <w:rPr>
                <w:sz w:val="18"/>
              </w:rPr>
              <w:t>System detects supported manipulation signals</w:t>
            </w:r>
          </w:p>
        </w:tc>
        <w:tc>
          <w:tcPr>
            <w:tcW w:type="dxa" w:w="3408"/>
            <w:vAlign w:val="center"/>
          </w:tcPr>
          <w:p>
            <w:r>
              <w:rPr>
                <w:sz w:val="18"/>
              </w:rPr>
              <w:t>P0</w:t>
            </w:r>
          </w:p>
        </w:tc>
      </w:tr>
      <w:tr>
        <w:tc>
          <w:tcPr>
            <w:tcW w:type="dxa" w:w="3408"/>
            <w:vAlign w:val="center"/>
          </w:tcPr>
          <w:p>
            <w:r>
              <w:rPr>
                <w:sz w:val="18"/>
              </w:rPr>
              <w:t>FR-007</w:t>
            </w:r>
          </w:p>
        </w:tc>
        <w:tc>
          <w:tcPr>
            <w:tcW w:type="dxa" w:w="3408"/>
            <w:vAlign w:val="center"/>
          </w:tcPr>
          <w:p>
            <w:r>
              <w:rPr>
                <w:sz w:val="18"/>
              </w:rPr>
              <w:t>Every displayed signal includes supporting evidence</w:t>
            </w:r>
          </w:p>
        </w:tc>
        <w:tc>
          <w:tcPr>
            <w:tcW w:type="dxa" w:w="3408"/>
            <w:vAlign w:val="center"/>
          </w:tcPr>
          <w:p>
            <w:r>
              <w:rPr>
                <w:sz w:val="18"/>
              </w:rPr>
              <w:t>P0</w:t>
            </w:r>
          </w:p>
        </w:tc>
      </w:tr>
      <w:tr>
        <w:tc>
          <w:tcPr>
            <w:tcW w:type="dxa" w:w="3408"/>
            <w:vAlign w:val="center"/>
          </w:tcPr>
          <w:p>
            <w:r>
              <w:rPr>
                <w:sz w:val="18"/>
              </w:rPr>
              <w:t>FR-008</w:t>
            </w:r>
          </w:p>
        </w:tc>
        <w:tc>
          <w:tcPr>
            <w:tcW w:type="dxa" w:w="3408"/>
            <w:vAlign w:val="center"/>
          </w:tcPr>
          <w:p>
            <w:r>
              <w:rPr>
                <w:sz w:val="18"/>
              </w:rPr>
              <w:t>System exposes uncertainty/limitations</w:t>
            </w:r>
          </w:p>
        </w:tc>
        <w:tc>
          <w:tcPr>
            <w:tcW w:type="dxa" w:w="3408"/>
            <w:vAlign w:val="center"/>
          </w:tcPr>
          <w:p>
            <w:r>
              <w:rPr>
                <w:sz w:val="18"/>
              </w:rPr>
              <w:t>P0</w:t>
            </w:r>
          </w:p>
        </w:tc>
      </w:tr>
      <w:tr>
        <w:tc>
          <w:tcPr>
            <w:tcW w:type="dxa" w:w="3408"/>
            <w:vAlign w:val="center"/>
          </w:tcPr>
          <w:p>
            <w:r>
              <w:rPr>
                <w:sz w:val="18"/>
              </w:rPr>
              <w:t>FR-009</w:t>
            </w:r>
          </w:p>
        </w:tc>
        <w:tc>
          <w:tcPr>
            <w:tcW w:type="dxa" w:w="3408"/>
            <w:vAlign w:val="center"/>
          </w:tcPr>
          <w:p>
            <w:r>
              <w:rPr>
                <w:sz w:val="18"/>
              </w:rPr>
              <w:t>User receives verification steps</w:t>
            </w:r>
          </w:p>
        </w:tc>
        <w:tc>
          <w:tcPr>
            <w:tcW w:type="dxa" w:w="3408"/>
            <w:vAlign w:val="center"/>
          </w:tcPr>
          <w:p>
            <w:r>
              <w:rPr>
                <w:sz w:val="18"/>
              </w:rPr>
              <w:t>P0</w:t>
            </w:r>
          </w:p>
        </w:tc>
      </w:tr>
      <w:tr>
        <w:tc>
          <w:tcPr>
            <w:tcW w:type="dxa" w:w="3408"/>
            <w:vAlign w:val="center"/>
          </w:tcPr>
          <w:p>
            <w:r>
              <w:rPr>
                <w:sz w:val="18"/>
              </w:rPr>
              <w:t>FR-010</w:t>
            </w:r>
          </w:p>
        </w:tc>
        <w:tc>
          <w:tcPr>
            <w:tcW w:type="dxa" w:w="3408"/>
            <w:vAlign w:val="center"/>
          </w:tcPr>
          <w:p>
            <w:r>
              <w:rPr>
                <w:sz w:val="18"/>
              </w:rPr>
              <w:t>User can select Before Action / Uncertain / After Action</w:t>
            </w:r>
          </w:p>
        </w:tc>
        <w:tc>
          <w:tcPr>
            <w:tcW w:type="dxa" w:w="3408"/>
            <w:vAlign w:val="center"/>
          </w:tcPr>
          <w:p>
            <w:r>
              <w:rPr>
                <w:sz w:val="18"/>
              </w:rPr>
              <w:t>P0</w:t>
            </w:r>
          </w:p>
        </w:tc>
      </w:tr>
      <w:tr>
        <w:tc>
          <w:tcPr>
            <w:tcW w:type="dxa" w:w="3408"/>
            <w:vAlign w:val="center"/>
          </w:tcPr>
          <w:p>
            <w:r>
              <w:rPr>
                <w:sz w:val="18"/>
              </w:rPr>
              <w:t>FR-011</w:t>
            </w:r>
          </w:p>
        </w:tc>
        <w:tc>
          <w:tcPr>
            <w:tcW w:type="dxa" w:w="3408"/>
            <w:vAlign w:val="center"/>
          </w:tcPr>
          <w:p>
            <w:r>
              <w:rPr>
                <w:sz w:val="18"/>
              </w:rPr>
              <w:t>User can create an incident after explicit consent</w:t>
            </w:r>
          </w:p>
        </w:tc>
        <w:tc>
          <w:tcPr>
            <w:tcW w:type="dxa" w:w="3408"/>
            <w:vAlign w:val="center"/>
          </w:tcPr>
          <w:p>
            <w:r>
              <w:rPr>
                <w:sz w:val="18"/>
              </w:rPr>
              <w:t>P0</w:t>
            </w:r>
          </w:p>
        </w:tc>
      </w:tr>
      <w:tr>
        <w:tc>
          <w:tcPr>
            <w:tcW w:type="dxa" w:w="3408"/>
            <w:vAlign w:val="center"/>
          </w:tcPr>
          <w:p>
            <w:r>
              <w:rPr>
                <w:sz w:val="18"/>
              </w:rPr>
              <w:t>FR-012</w:t>
            </w:r>
          </w:p>
        </w:tc>
        <w:tc>
          <w:tcPr>
            <w:tcW w:type="dxa" w:w="3408"/>
            <w:vAlign w:val="center"/>
          </w:tcPr>
          <w:p>
            <w:r>
              <w:rPr>
                <w:sz w:val="18"/>
              </w:rPr>
              <w:t>User can delete eligible session data</w:t>
            </w:r>
          </w:p>
        </w:tc>
        <w:tc>
          <w:tcPr>
            <w:tcW w:type="dxa" w:w="3408"/>
            <w:vAlign w:val="center"/>
          </w:tcPr>
          <w:p>
            <w:r>
              <w:rPr>
                <w:sz w:val="18"/>
              </w:rPr>
              <w:t>P0</w:t>
            </w:r>
          </w:p>
        </w:tc>
      </w:tr>
      <w:tr>
        <w:tc>
          <w:tcPr>
            <w:tcW w:type="dxa" w:w="3408"/>
            <w:vAlign w:val="center"/>
          </w:tcPr>
          <w:p>
            <w:r>
              <w:rPr>
                <w:sz w:val="18"/>
              </w:rPr>
              <w:t>FR-013</w:t>
            </w:r>
          </w:p>
        </w:tc>
        <w:tc>
          <w:tcPr>
            <w:tcW w:type="dxa" w:w="3408"/>
            <w:vAlign w:val="center"/>
          </w:tcPr>
          <w:p>
            <w:r>
              <w:rPr>
                <w:sz w:val="18"/>
              </w:rPr>
              <w:t>English/Hindi/Marathi available</w:t>
            </w:r>
          </w:p>
        </w:tc>
        <w:tc>
          <w:tcPr>
            <w:tcW w:type="dxa" w:w="3408"/>
            <w:vAlign w:val="center"/>
          </w:tcPr>
          <w:p>
            <w:r>
              <w:rPr>
                <w:sz w:val="18"/>
              </w:rPr>
              <w:t>P0</w:t>
            </w:r>
          </w:p>
        </w:tc>
      </w:tr>
      <w:tr>
        <w:tc>
          <w:tcPr>
            <w:tcW w:type="dxa" w:w="3408"/>
            <w:vAlign w:val="center"/>
          </w:tcPr>
          <w:p>
            <w:r>
              <w:rPr>
                <w:sz w:val="18"/>
              </w:rPr>
              <w:t>FR-014</w:t>
            </w:r>
          </w:p>
        </w:tc>
        <w:tc>
          <w:tcPr>
            <w:tcW w:type="dxa" w:w="3408"/>
            <w:vAlign w:val="center"/>
          </w:tcPr>
          <w:p>
            <w:r>
              <w:rPr>
                <w:sz w:val="18"/>
              </w:rPr>
              <w:t>System blocks prohibited investment advice</w:t>
            </w:r>
          </w:p>
        </w:tc>
        <w:tc>
          <w:tcPr>
            <w:tcW w:type="dxa" w:w="3408"/>
            <w:vAlign w:val="center"/>
          </w:tcPr>
          <w:p>
            <w:r>
              <w:rPr>
                <w:sz w:val="18"/>
              </w:rPr>
              <w:t>P0</w:t>
            </w:r>
          </w:p>
        </w:tc>
      </w:tr>
      <w:tr>
        <w:tc>
          <w:tcPr>
            <w:tcW w:type="dxa" w:w="3408"/>
            <w:vAlign w:val="center"/>
          </w:tcPr>
          <w:p>
            <w:r>
              <w:rPr>
                <w:sz w:val="18"/>
              </w:rPr>
              <w:t>FR-015</w:t>
            </w:r>
          </w:p>
        </w:tc>
        <w:tc>
          <w:tcPr>
            <w:tcW w:type="dxa" w:w="3408"/>
            <w:vAlign w:val="center"/>
          </w:tcPr>
          <w:p>
            <w:r>
              <w:rPr>
                <w:sz w:val="18"/>
              </w:rPr>
              <w:t>System does not request OTP/PIN/password</w:t>
            </w:r>
          </w:p>
        </w:tc>
        <w:tc>
          <w:tcPr>
            <w:tcW w:type="dxa" w:w="3408"/>
            <w:vAlign w:val="center"/>
          </w:tcPr>
          <w:p>
            <w:r>
              <w:rPr>
                <w:sz w:val="18"/>
              </w:rPr>
              <w:t>P0</w:t>
            </w:r>
          </w:p>
        </w:tc>
      </w:tr>
      <w:tr>
        <w:tc>
          <w:tcPr>
            <w:tcW w:type="dxa" w:w="3408"/>
            <w:vAlign w:val="center"/>
          </w:tcPr>
          <w:p>
            <w:r>
              <w:rPr>
                <w:sz w:val="18"/>
              </w:rPr>
              <w:t>FR-016</w:t>
            </w:r>
          </w:p>
        </w:tc>
        <w:tc>
          <w:tcPr>
            <w:tcW w:type="dxa" w:w="3408"/>
            <w:vAlign w:val="center"/>
          </w:tcPr>
          <w:p>
            <w:r>
              <w:rPr>
                <w:sz w:val="18"/>
              </w:rPr>
              <w:t>User can inspect why a finding was produced</w:t>
            </w:r>
          </w:p>
        </w:tc>
        <w:tc>
          <w:tcPr>
            <w:tcW w:type="dxa" w:w="3408"/>
            <w:vAlign w:val="center"/>
          </w:tcPr>
          <w:p>
            <w:r>
              <w:rPr>
                <w:sz w:val="18"/>
              </w:rPr>
              <w:t>P1</w:t>
            </w:r>
          </w:p>
        </w:tc>
      </w:tr>
      <w:tr>
        <w:tc>
          <w:tcPr>
            <w:tcW w:type="dxa" w:w="3408"/>
            <w:vAlign w:val="center"/>
          </w:tcPr>
          <w:p>
            <w:r>
              <w:rPr>
                <w:sz w:val="18"/>
              </w:rPr>
              <w:t>FR-017</w:t>
            </w:r>
          </w:p>
        </w:tc>
        <w:tc>
          <w:tcPr>
            <w:tcW w:type="dxa" w:w="3408"/>
            <w:vAlign w:val="center"/>
          </w:tcPr>
          <w:p>
            <w:r>
              <w:rPr>
                <w:sz w:val="18"/>
              </w:rPr>
              <w:t>User can correct OCR interpretation</w:t>
            </w:r>
          </w:p>
        </w:tc>
        <w:tc>
          <w:tcPr>
            <w:tcW w:type="dxa" w:w="3408"/>
            <w:vAlign w:val="center"/>
          </w:tcPr>
          <w:p>
            <w:r>
              <w:rPr>
                <w:sz w:val="18"/>
              </w:rPr>
              <w:t>P1</w:t>
            </w:r>
          </w:p>
        </w:tc>
      </w:tr>
      <w:tr>
        <w:tc>
          <w:tcPr>
            <w:tcW w:type="dxa" w:w="3408"/>
            <w:vAlign w:val="center"/>
          </w:tcPr>
          <w:p>
            <w:r>
              <w:rPr>
                <w:sz w:val="18"/>
              </w:rPr>
              <w:t>FR-018</w:t>
            </w:r>
          </w:p>
        </w:tc>
        <w:tc>
          <w:tcPr>
            <w:tcW w:type="dxa" w:w="3408"/>
            <w:vAlign w:val="center"/>
          </w:tcPr>
          <w:p>
            <w:r>
              <w:rPr>
                <w:sz w:val="18"/>
              </w:rPr>
              <w:t>User can add multiple evidence items</w:t>
            </w:r>
          </w:p>
        </w:tc>
        <w:tc>
          <w:tcPr>
            <w:tcW w:type="dxa" w:w="3408"/>
            <w:vAlign w:val="center"/>
          </w:tcPr>
          <w:p>
            <w:r>
              <w:rPr>
                <w:sz w:val="18"/>
              </w:rPr>
              <w:t>P1</w:t>
            </w:r>
          </w:p>
        </w:tc>
      </w:tr>
    </w:tbl>
    <w:p/>
    <w:p>
      <w:pPr>
        <w:pStyle w:val="Heading1"/>
      </w:pPr>
      <w:r>
        <w:t>11.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Category</w:t>
            </w:r>
          </w:p>
        </w:tc>
        <w:tc>
          <w:tcPr>
            <w:tcW w:type="dxa" w:w="5112"/>
            <w:shd w:fill="17324D"/>
          </w:tcPr>
          <w:p>
            <w:r>
              <w:rPr>
                <w:b/>
                <w:color w:val="FFFFFF"/>
                <w:sz w:val="18"/>
              </w:rPr>
              <w:t>Requirement</w:t>
            </w:r>
          </w:p>
        </w:tc>
      </w:tr>
      <w:tr>
        <w:tc>
          <w:tcPr>
            <w:tcW w:type="dxa" w:w="5112"/>
            <w:vAlign w:val="center"/>
          </w:tcPr>
          <w:p>
            <w:r>
              <w:rPr>
                <w:sz w:val="18"/>
              </w:rPr>
              <w:t>Privacy</w:t>
            </w:r>
          </w:p>
        </w:tc>
        <w:tc>
          <w:tcPr>
            <w:tcW w:type="dxa" w:w="5112"/>
            <w:vAlign w:val="center"/>
          </w:tcPr>
          <w:p>
            <w:r>
              <w:rPr>
                <w:sz w:val="18"/>
              </w:rPr>
              <w:t>Ephemeral processing by default</w:t>
            </w:r>
          </w:p>
        </w:tc>
      </w:tr>
      <w:tr>
        <w:tc>
          <w:tcPr>
            <w:tcW w:type="dxa" w:w="5112"/>
            <w:vAlign w:val="center"/>
          </w:tcPr>
          <w:p>
            <w:r>
              <w:rPr>
                <w:sz w:val="18"/>
              </w:rPr>
              <w:t>Security</w:t>
            </w:r>
          </w:p>
        </w:tc>
        <w:tc>
          <w:tcPr>
            <w:tcW w:type="dxa" w:w="5112"/>
            <w:vAlign w:val="center"/>
          </w:tcPr>
          <w:p>
            <w:r>
              <w:rPr>
                <w:sz w:val="18"/>
              </w:rPr>
              <w:t>Validated uploads, rate limiting, secure sessions and secrets</w:t>
            </w:r>
          </w:p>
        </w:tc>
      </w:tr>
      <w:tr>
        <w:tc>
          <w:tcPr>
            <w:tcW w:type="dxa" w:w="5112"/>
            <w:vAlign w:val="center"/>
          </w:tcPr>
          <w:p>
            <w:r>
              <w:rPr>
                <w:sz w:val="18"/>
              </w:rPr>
              <w:t>Reliability</w:t>
            </w:r>
          </w:p>
        </w:tc>
        <w:tc>
          <w:tcPr>
            <w:tcW w:type="dxa" w:w="5112"/>
            <w:vAlign w:val="center"/>
          </w:tcPr>
          <w:p>
            <w:r>
              <w:rPr>
                <w:sz w:val="18"/>
              </w:rPr>
              <w:t>Graceful failure and retry</w:t>
            </w:r>
          </w:p>
        </w:tc>
      </w:tr>
      <w:tr>
        <w:tc>
          <w:tcPr>
            <w:tcW w:type="dxa" w:w="5112"/>
            <w:vAlign w:val="center"/>
          </w:tcPr>
          <w:p>
            <w:r>
              <w:rPr>
                <w:sz w:val="18"/>
              </w:rPr>
              <w:t>Performance</w:t>
            </w:r>
          </w:p>
        </w:tc>
        <w:tc>
          <w:tcPr>
            <w:tcW w:type="dxa" w:w="5112"/>
            <w:vAlign w:val="center"/>
          </w:tcPr>
          <w:p>
            <w:r>
              <w:rPr>
                <w:sz w:val="18"/>
              </w:rPr>
              <w:t>Interactive progress with bounded processing</w:t>
            </w:r>
          </w:p>
        </w:tc>
      </w:tr>
      <w:tr>
        <w:tc>
          <w:tcPr>
            <w:tcW w:type="dxa" w:w="5112"/>
            <w:vAlign w:val="center"/>
          </w:tcPr>
          <w:p>
            <w:r>
              <w:rPr>
                <w:sz w:val="18"/>
              </w:rPr>
              <w:t>Scalability</w:t>
            </w:r>
          </w:p>
        </w:tc>
        <w:tc>
          <w:tcPr>
            <w:tcW w:type="dxa" w:w="5112"/>
            <w:vAlign w:val="center"/>
          </w:tcPr>
          <w:p>
            <w:r>
              <w:rPr>
                <w:sz w:val="18"/>
              </w:rPr>
              <w:t>Stateless API components where practical</w:t>
            </w:r>
          </w:p>
        </w:tc>
      </w:tr>
      <w:tr>
        <w:tc>
          <w:tcPr>
            <w:tcW w:type="dxa" w:w="5112"/>
            <w:vAlign w:val="center"/>
          </w:tcPr>
          <w:p>
            <w:r>
              <w:rPr>
                <w:sz w:val="18"/>
              </w:rPr>
              <w:t>Maintainability</w:t>
            </w:r>
          </w:p>
        </w:tc>
        <w:tc>
          <w:tcPr>
            <w:tcW w:type="dxa" w:w="5112"/>
            <w:vAlign w:val="center"/>
          </w:tcPr>
          <w:p>
            <w:r>
              <w:rPr>
                <w:sz w:val="18"/>
              </w:rPr>
              <w:t>Modular frontend/backend services</w:t>
            </w:r>
          </w:p>
        </w:tc>
      </w:tr>
      <w:tr>
        <w:tc>
          <w:tcPr>
            <w:tcW w:type="dxa" w:w="5112"/>
            <w:vAlign w:val="center"/>
          </w:tcPr>
          <w:p>
            <w:r>
              <w:rPr>
                <w:sz w:val="18"/>
              </w:rPr>
              <w:t>Accessibility</w:t>
            </w:r>
          </w:p>
        </w:tc>
        <w:tc>
          <w:tcPr>
            <w:tcW w:type="dxa" w:w="5112"/>
            <w:vAlign w:val="center"/>
          </w:tcPr>
          <w:p>
            <w:r>
              <w:rPr>
                <w:sz w:val="18"/>
              </w:rPr>
              <w:t>Accessible UI and Simple Mode</w:t>
            </w:r>
          </w:p>
        </w:tc>
      </w:tr>
      <w:tr>
        <w:tc>
          <w:tcPr>
            <w:tcW w:type="dxa" w:w="5112"/>
            <w:vAlign w:val="center"/>
          </w:tcPr>
          <w:p>
            <w:r>
              <w:rPr>
                <w:sz w:val="18"/>
              </w:rPr>
              <w:t>Localization</w:t>
            </w:r>
          </w:p>
        </w:tc>
        <w:tc>
          <w:tcPr>
            <w:tcW w:type="dxa" w:w="5112"/>
            <w:vAlign w:val="center"/>
          </w:tcPr>
          <w:p>
            <w:r>
              <w:rPr>
                <w:sz w:val="18"/>
              </w:rPr>
              <w:t>Translation keys, not hard-coded UI strings</w:t>
            </w:r>
          </w:p>
        </w:tc>
      </w:tr>
      <w:tr>
        <w:tc>
          <w:tcPr>
            <w:tcW w:type="dxa" w:w="5112"/>
            <w:vAlign w:val="center"/>
          </w:tcPr>
          <w:p>
            <w:r>
              <w:rPr>
                <w:sz w:val="18"/>
              </w:rPr>
              <w:t>Observability</w:t>
            </w:r>
          </w:p>
        </w:tc>
        <w:tc>
          <w:tcPr>
            <w:tcW w:type="dxa" w:w="5112"/>
            <w:vAlign w:val="center"/>
          </w:tcPr>
          <w:p>
            <w:r>
              <w:rPr>
                <w:sz w:val="18"/>
              </w:rPr>
              <w:t>Safe structured logs and service metrics</w:t>
            </w:r>
          </w:p>
        </w:tc>
      </w:tr>
      <w:tr>
        <w:tc>
          <w:tcPr>
            <w:tcW w:type="dxa" w:w="5112"/>
            <w:vAlign w:val="center"/>
          </w:tcPr>
          <w:p>
            <w:r>
              <w:rPr>
                <w:sz w:val="18"/>
              </w:rPr>
              <w:t>Auditability</w:t>
            </w:r>
          </w:p>
        </w:tc>
        <w:tc>
          <w:tcPr>
            <w:tcW w:type="dxa" w:w="5112"/>
            <w:vAlign w:val="center"/>
          </w:tcPr>
          <w:p>
            <w:r>
              <w:rPr>
                <w:sz w:val="18"/>
              </w:rPr>
              <w:t>Model/config/source-registry version metadata</w:t>
            </w:r>
          </w:p>
        </w:tc>
      </w:tr>
    </w:tbl>
    <w:p/>
    <w:p>
      <w:pPr>
        <w:pStyle w:val="Heading1"/>
      </w:pPr>
      <w:r>
        <w:t>12. AI Behaviour Requirements</w:t>
      </w:r>
    </w:p>
    <w:p>
      <w:pPr>
        <w:pStyle w:val="ListBullet"/>
        <w:spacing w:after="40"/>
      </w:pPr>
      <w:r>
        <w:t>AI may explain content and detect supported observable patterns.</w:t>
      </w:r>
    </w:p>
    <w:p>
      <w:pPr>
        <w:pStyle w:val="ListBullet"/>
        <w:spacing w:after="40"/>
      </w:pPr>
      <w:r>
        <w:t>AI may extract claims and entities.</w:t>
      </w:r>
    </w:p>
    <w:p>
      <w:pPr>
        <w:pStyle w:val="ListBullet"/>
        <w:spacing w:after="40"/>
      </w:pPr>
      <w:r>
        <w:t>AI may identify missing evidence.</w:t>
      </w:r>
    </w:p>
    <w:p>
      <w:pPr>
        <w:pStyle w:val="ListBullet"/>
        <w:spacing w:after="40"/>
      </w:pPr>
      <w:r>
        <w:t>AI may suggest verification actions.</w:t>
      </w:r>
    </w:p>
    <w:p>
      <w:pPr>
        <w:pStyle w:val="ListBullet"/>
        <w:spacing w:after="40"/>
      </w:pPr>
      <w:r>
        <w:t>AI must not provide buy/sell/hold recommendations.</w:t>
      </w:r>
    </w:p>
    <w:p>
      <w:pPr>
        <w:pStyle w:val="ListBullet"/>
        <w:spacing w:after="40"/>
      </w:pPr>
      <w:r>
        <w:t>AI must not predict stock prices or investment returns.</w:t>
      </w:r>
    </w:p>
    <w:p>
      <w:pPr>
        <w:pStyle w:val="ListBullet"/>
        <w:spacing w:after="40"/>
      </w:pPr>
      <w:r>
        <w:t>AI must not label a person/company legally fraudulent based solely on model inference.</w:t>
      </w:r>
    </w:p>
    <w:p>
      <w:pPr>
        <w:pStyle w:val="ListBullet"/>
        <w:spacing w:after="40"/>
      </w:pPr>
      <w:r>
        <w:t>AI must not invent regulator links, phone numbers or reporting channels.</w:t>
      </w:r>
    </w:p>
    <w:p>
      <w:pPr>
        <w:pStyle w:val="ListBullet"/>
        <w:spacing w:after="40"/>
      </w:pPr>
      <w:r>
        <w:t>AI must not conceal uncertainty.</w:t>
      </w:r>
    </w:p>
    <w:p>
      <w:pPr>
        <w:pStyle w:val="ListBullet"/>
        <w:spacing w:after="40"/>
      </w:pPr>
      <w:r>
        <w:t>AI must not request OTPs, PINs, passwords or banking credentials.</w:t>
      </w:r>
    </w:p>
    <w:p>
      <w:pPr>
        <w:pStyle w:val="Heading1"/>
      </w:pPr>
      <w:r>
        <w:t>13. Error &amp; Edge Cases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Scenario</w:t>
            </w:r>
          </w:p>
        </w:tc>
        <w:tc>
          <w:tcPr>
            <w:tcW w:type="dxa" w:w="5112"/>
            <w:shd w:fill="17324D"/>
          </w:tcPr>
          <w:p>
            <w:r>
              <w:rPr>
                <w:b/>
                <w:color w:val="FFFFFF"/>
                <w:sz w:val="18"/>
              </w:rPr>
              <w:t>Expected behaviour</w:t>
            </w:r>
          </w:p>
        </w:tc>
      </w:tr>
      <w:tr>
        <w:tc>
          <w:tcPr>
            <w:tcW w:type="dxa" w:w="5112"/>
            <w:vAlign w:val="center"/>
          </w:tcPr>
          <w:p>
            <w:r>
              <w:rPr>
                <w:sz w:val="18"/>
              </w:rPr>
              <w:t>Unreadable image</w:t>
            </w:r>
          </w:p>
        </w:tc>
        <w:tc>
          <w:tcPr>
            <w:tcW w:type="dxa" w:w="5112"/>
            <w:vAlign w:val="center"/>
          </w:tcPr>
          <w:p>
            <w:r>
              <w:rPr>
                <w:sz w:val="18"/>
              </w:rPr>
              <w:t>Explain OCR limitation and request clearer input</w:t>
            </w:r>
          </w:p>
        </w:tc>
      </w:tr>
      <w:tr>
        <w:tc>
          <w:tcPr>
            <w:tcW w:type="dxa" w:w="5112"/>
            <w:vAlign w:val="center"/>
          </w:tcPr>
          <w:p>
            <w:r>
              <w:rPr>
                <w:sz w:val="18"/>
              </w:rPr>
              <w:t>Unsupported file</w:t>
            </w:r>
          </w:p>
        </w:tc>
        <w:tc>
          <w:tcPr>
            <w:tcW w:type="dxa" w:w="5112"/>
            <w:vAlign w:val="center"/>
          </w:tcPr>
          <w:p>
            <w:r>
              <w:rPr>
                <w:sz w:val="18"/>
              </w:rPr>
              <w:t>Explain supported formats</w:t>
            </w:r>
          </w:p>
        </w:tc>
      </w:tr>
      <w:tr>
        <w:tc>
          <w:tcPr>
            <w:tcW w:type="dxa" w:w="5112"/>
            <w:vAlign w:val="center"/>
          </w:tcPr>
          <w:p>
            <w:r>
              <w:rPr>
                <w:sz w:val="18"/>
              </w:rPr>
              <w:t>Huge file</w:t>
            </w:r>
          </w:p>
        </w:tc>
        <w:tc>
          <w:tcPr>
            <w:tcW w:type="dxa" w:w="5112"/>
            <w:vAlign w:val="center"/>
          </w:tcPr>
          <w:p>
            <w:r>
              <w:rPr>
                <w:sz w:val="18"/>
              </w:rPr>
              <w:t>Reject before processing with size guidance</w:t>
            </w:r>
          </w:p>
        </w:tc>
      </w:tr>
      <w:tr>
        <w:tc>
          <w:tcPr>
            <w:tcW w:type="dxa" w:w="5112"/>
            <w:vAlign w:val="center"/>
          </w:tcPr>
          <w:p>
            <w:r>
              <w:rPr>
                <w:sz w:val="18"/>
              </w:rPr>
              <w:t>No suspicious signal</w:t>
            </w:r>
          </w:p>
        </w:tc>
        <w:tc>
          <w:tcPr>
            <w:tcW w:type="dxa" w:w="5112"/>
            <w:vAlign w:val="center"/>
          </w:tcPr>
          <w:p>
            <w:r>
              <w:rPr>
                <w:sz w:val="18"/>
              </w:rPr>
              <w:t>Say no supported signal was detected; do not say 'safe'</w:t>
            </w:r>
          </w:p>
        </w:tc>
      </w:tr>
      <w:tr>
        <w:tc>
          <w:tcPr>
            <w:tcW w:type="dxa" w:w="5112"/>
            <w:vAlign w:val="center"/>
          </w:tcPr>
          <w:p>
            <w:r>
              <w:rPr>
                <w:sz w:val="18"/>
              </w:rPr>
              <w:t>Ambiguous content</w:t>
            </w:r>
          </w:p>
        </w:tc>
        <w:tc>
          <w:tcPr>
            <w:tcW w:type="dxa" w:w="5112"/>
            <w:vAlign w:val="center"/>
          </w:tcPr>
          <w:p>
            <w:r>
              <w:rPr>
                <w:sz w:val="18"/>
              </w:rPr>
              <w:t>Use Uncertain state</w:t>
            </w:r>
          </w:p>
        </w:tc>
      </w:tr>
      <w:tr>
        <w:tc>
          <w:tcPr>
            <w:tcW w:type="dxa" w:w="5112"/>
            <w:vAlign w:val="center"/>
          </w:tcPr>
          <w:p>
            <w:r>
              <w:rPr>
                <w:sz w:val="18"/>
              </w:rPr>
              <w:t>Mixed languages</w:t>
            </w:r>
          </w:p>
        </w:tc>
        <w:tc>
          <w:tcPr>
            <w:tcW w:type="dxa" w:w="5112"/>
            <w:vAlign w:val="center"/>
          </w:tcPr>
          <w:p>
            <w:r>
              <w:rPr>
                <w:sz w:val="18"/>
              </w:rPr>
              <w:t>Process supported languages and disclose limitations</w:t>
            </w:r>
          </w:p>
        </w:tc>
      </w:tr>
      <w:tr>
        <w:tc>
          <w:tcPr>
            <w:tcW w:type="dxa" w:w="5112"/>
            <w:vAlign w:val="center"/>
          </w:tcPr>
          <w:p>
            <w:r>
              <w:rPr>
                <w:sz w:val="18"/>
              </w:rPr>
              <w:t>Model unavailable</w:t>
            </w:r>
          </w:p>
        </w:tc>
        <w:tc>
          <w:tcPr>
            <w:tcW w:type="dxa" w:w="5112"/>
            <w:vAlign w:val="center"/>
          </w:tcPr>
          <w:p>
            <w:r>
              <w:rPr>
                <w:sz w:val="18"/>
              </w:rPr>
              <w:t>Offer retry/fallback; do not fabricate result</w:t>
            </w:r>
          </w:p>
        </w:tc>
      </w:tr>
      <w:tr>
        <w:tc>
          <w:tcPr>
            <w:tcW w:type="dxa" w:w="5112"/>
            <w:vAlign w:val="center"/>
          </w:tcPr>
          <w:p>
            <w:r>
              <w:rPr>
                <w:sz w:val="18"/>
              </w:rPr>
              <w:t>Verification source unavailable</w:t>
            </w:r>
          </w:p>
        </w:tc>
        <w:tc>
          <w:tcPr>
            <w:tcW w:type="dxa" w:w="5112"/>
            <w:vAlign w:val="center"/>
          </w:tcPr>
          <w:p>
            <w:r>
              <w:rPr>
                <w:sz w:val="18"/>
              </w:rPr>
              <w:t>Show source unavailable and do not invent alternative</w:t>
            </w:r>
          </w:p>
        </w:tc>
      </w:tr>
      <w:tr>
        <w:tc>
          <w:tcPr>
            <w:tcW w:type="dxa" w:w="5112"/>
            <w:vAlign w:val="center"/>
          </w:tcPr>
          <w:p>
            <w:r>
              <w:rPr>
                <w:sz w:val="18"/>
              </w:rPr>
              <w:t>User uploads sensitive credential</w:t>
            </w:r>
          </w:p>
        </w:tc>
        <w:tc>
          <w:tcPr>
            <w:tcW w:type="dxa" w:w="5112"/>
            <w:vAlign w:val="center"/>
          </w:tcPr>
          <w:p>
            <w:r>
              <w:rPr>
                <w:sz w:val="18"/>
              </w:rPr>
              <w:t>Warn and avoid retaining where possible</w:t>
            </w:r>
          </w:p>
        </w:tc>
      </w:tr>
      <w:tr>
        <w:tc>
          <w:tcPr>
            <w:tcW w:type="dxa" w:w="5112"/>
            <w:vAlign w:val="center"/>
          </w:tcPr>
          <w:p>
            <w:r>
              <w:rPr>
                <w:sz w:val="18"/>
              </w:rPr>
              <w:t>Malicious file</w:t>
            </w:r>
          </w:p>
        </w:tc>
        <w:tc>
          <w:tcPr>
            <w:tcW w:type="dxa" w:w="5112"/>
            <w:vAlign w:val="center"/>
          </w:tcPr>
          <w:p>
            <w:r>
              <w:rPr>
                <w:sz w:val="18"/>
              </w:rPr>
              <w:t>Reject safely and log security event without storing raw content</w:t>
            </w:r>
          </w:p>
        </w:tc>
      </w:tr>
    </w:tbl>
    <w:p/>
    <w:p>
      <w:pPr>
        <w:pStyle w:val="Heading1"/>
      </w:pPr>
      <w:r>
        <w:t>14. Privacy &amp; Consent UX</w:t>
      </w:r>
    </w:p>
    <w:p>
      <w:pPr>
        <w:pStyle w:val="ListBullet"/>
        <w:spacing w:after="40"/>
      </w:pPr>
      <w:r>
        <w:t>Consent must be understandable and separate from marketing language.</w:t>
      </w:r>
    </w:p>
    <w:p>
      <w:pPr>
        <w:pStyle w:val="ListBullet"/>
        <w:spacing w:after="40"/>
      </w:pPr>
      <w:r>
        <w:t>Default analysis is temporary.</w:t>
      </w:r>
    </w:p>
    <w:p>
      <w:pPr>
        <w:pStyle w:val="ListBullet"/>
        <w:spacing w:after="40"/>
      </w:pPr>
      <w:r>
        <w:t>Saving an incident requires a clear user action.</w:t>
      </w:r>
    </w:p>
    <w:p>
      <w:pPr>
        <w:pStyle w:val="ListBullet"/>
        <w:spacing w:after="40"/>
      </w:pPr>
      <w:r>
        <w:t>Deletion should be discoverable.</w:t>
      </w:r>
    </w:p>
    <w:p>
      <w:pPr>
        <w:pStyle w:val="ListBullet"/>
        <w:spacing w:after="40"/>
      </w:pPr>
      <w:r>
        <w:t>Do not use dark patterns.</w:t>
      </w:r>
    </w:p>
    <w:p>
      <w:pPr>
        <w:pStyle w:val="ListBullet"/>
        <w:spacing w:after="40"/>
      </w:pPr>
      <w:r>
        <w:t>Do not use fear-based copy to force continued engagement.</w:t>
      </w:r>
    </w:p>
    <w:p>
      <w:pPr>
        <w:pStyle w:val="Heading1"/>
      </w:pPr>
      <w:r>
        <w:t>15. Analytics Requirements</w:t>
      </w:r>
    </w:p>
    <w:p>
      <w:r>
        <w:t>Only privacy-preserving product analytics should be considered for the MVP.</w:t>
      </w:r>
    </w:p>
    <w:p>
      <w:pPr>
        <w:pStyle w:val="ListBullet"/>
        <w:spacing w:after="40"/>
      </w:pPr>
      <w:r>
        <w:t>Track aggregate completion/failure events.</w:t>
      </w:r>
    </w:p>
    <w:p>
      <w:pPr>
        <w:pStyle w:val="ListBullet"/>
        <w:spacing w:after="40"/>
      </w:pPr>
      <w:r>
        <w:t>Do not collect raw user messages as analytics.</w:t>
      </w:r>
    </w:p>
    <w:p>
      <w:pPr>
        <w:pStyle w:val="ListBullet"/>
        <w:spacing w:after="40"/>
      </w:pPr>
      <w:r>
        <w:t>Do not track OTP/PIN/password content.</w:t>
      </w:r>
    </w:p>
    <w:p>
      <w:pPr>
        <w:pStyle w:val="ListBullet"/>
        <w:spacing w:after="40"/>
      </w:pPr>
      <w:r>
        <w:t>Do not build advertising or investment-targeting profiles.</w:t>
      </w:r>
    </w:p>
    <w:p>
      <w:pPr>
        <w:pStyle w:val="ListBullet"/>
        <w:spacing w:after="40"/>
      </w:pPr>
      <w:r>
        <w:t>Allow analytics to be disabled where technically feasible.</w:t>
      </w:r>
    </w:p>
    <w:p>
      <w:pPr>
        <w:pStyle w:val="Heading1"/>
      </w:pPr>
      <w:r>
        <w:t>16. Demo Requirements</w:t>
      </w:r>
    </w:p>
    <w:p>
      <w:r>
        <w:t>The hackathon prototype must demonstrate one complete journey.</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Step</w:t>
            </w:r>
          </w:p>
        </w:tc>
        <w:tc>
          <w:tcPr>
            <w:tcW w:type="dxa" w:w="5112"/>
            <w:shd w:fill="17324D"/>
          </w:tcPr>
          <w:p>
            <w:r>
              <w:rPr>
                <w:b/>
                <w:color w:val="FFFFFF"/>
                <w:sz w:val="18"/>
              </w:rPr>
              <w:t>Demo output</w:t>
            </w:r>
          </w:p>
        </w:tc>
      </w:tr>
      <w:tr>
        <w:tc>
          <w:tcPr>
            <w:tcW w:type="dxa" w:w="5112"/>
            <w:vAlign w:val="center"/>
          </w:tcPr>
          <w:p>
            <w:r>
              <w:rPr>
                <w:sz w:val="18"/>
              </w:rPr>
              <w:t>1. Suspicious message</w:t>
            </w:r>
          </w:p>
        </w:tc>
        <w:tc>
          <w:tcPr>
            <w:tcW w:type="dxa" w:w="5112"/>
            <w:vAlign w:val="center"/>
          </w:tcPr>
          <w:p>
            <w:r>
              <w:rPr>
                <w:sz w:val="18"/>
              </w:rPr>
              <w:t>Realistic synthetic Indian scam-style message</w:t>
            </w:r>
          </w:p>
        </w:tc>
      </w:tr>
      <w:tr>
        <w:tc>
          <w:tcPr>
            <w:tcW w:type="dxa" w:w="5112"/>
            <w:vAlign w:val="center"/>
          </w:tcPr>
          <w:p>
            <w:r>
              <w:rPr>
                <w:sz w:val="18"/>
              </w:rPr>
              <w:t>2. Input</w:t>
            </w:r>
          </w:p>
        </w:tc>
        <w:tc>
          <w:tcPr>
            <w:tcW w:type="dxa" w:w="5112"/>
            <w:vAlign w:val="center"/>
          </w:tcPr>
          <w:p>
            <w:r>
              <w:rPr>
                <w:sz w:val="18"/>
              </w:rPr>
              <w:t>Screenshot upload</w:t>
            </w:r>
          </w:p>
        </w:tc>
      </w:tr>
      <w:tr>
        <w:tc>
          <w:tcPr>
            <w:tcW w:type="dxa" w:w="5112"/>
            <w:vAlign w:val="center"/>
          </w:tcPr>
          <w:p>
            <w:r>
              <w:rPr>
                <w:sz w:val="18"/>
              </w:rPr>
              <w:t>3. Analysis</w:t>
            </w:r>
          </w:p>
        </w:tc>
        <w:tc>
          <w:tcPr>
            <w:tcW w:type="dxa" w:w="5112"/>
            <w:vAlign w:val="center"/>
          </w:tcPr>
          <w:p>
            <w:r>
              <w:rPr>
                <w:sz w:val="18"/>
              </w:rPr>
              <w:t>Claims + Manipulation Map</w:t>
            </w:r>
          </w:p>
        </w:tc>
      </w:tr>
      <w:tr>
        <w:tc>
          <w:tcPr>
            <w:tcW w:type="dxa" w:w="5112"/>
            <w:vAlign w:val="center"/>
          </w:tcPr>
          <w:p>
            <w:r>
              <w:rPr>
                <w:sz w:val="18"/>
              </w:rPr>
              <w:t>4. Evidence</w:t>
            </w:r>
          </w:p>
        </w:tc>
        <w:tc>
          <w:tcPr>
            <w:tcW w:type="dxa" w:w="5112"/>
            <w:vAlign w:val="center"/>
          </w:tcPr>
          <w:p>
            <w:r>
              <w:rPr>
                <w:sz w:val="18"/>
              </w:rPr>
              <w:t>Highlighted source evidence</w:t>
            </w:r>
          </w:p>
        </w:tc>
      </w:tr>
      <w:tr>
        <w:tc>
          <w:tcPr>
            <w:tcW w:type="dxa" w:w="5112"/>
            <w:vAlign w:val="center"/>
          </w:tcPr>
          <w:p>
            <w:r>
              <w:rPr>
                <w:sz w:val="18"/>
              </w:rPr>
              <w:t>5. Verification</w:t>
            </w:r>
          </w:p>
        </w:tc>
        <w:tc>
          <w:tcPr>
            <w:tcW w:type="dxa" w:w="5112"/>
            <w:vAlign w:val="center"/>
          </w:tcPr>
          <w:p>
            <w:r>
              <w:rPr>
                <w:sz w:val="18"/>
              </w:rPr>
              <w:t>Independent verification pathway</w:t>
            </w:r>
          </w:p>
        </w:tc>
      </w:tr>
      <w:tr>
        <w:tc>
          <w:tcPr>
            <w:tcW w:type="dxa" w:w="5112"/>
            <w:vAlign w:val="center"/>
          </w:tcPr>
          <w:p>
            <w:r>
              <w:rPr>
                <w:sz w:val="18"/>
              </w:rPr>
              <w:t>6. Safety state</w:t>
            </w:r>
          </w:p>
        </w:tc>
        <w:tc>
          <w:tcPr>
            <w:tcW w:type="dxa" w:w="5112"/>
            <w:vAlign w:val="center"/>
          </w:tcPr>
          <w:p>
            <w:r>
              <w:rPr>
                <w:sz w:val="18"/>
              </w:rPr>
              <w:t>Before Action workflow</w:t>
            </w:r>
          </w:p>
        </w:tc>
      </w:tr>
      <w:tr>
        <w:tc>
          <w:tcPr>
            <w:tcW w:type="dxa" w:w="5112"/>
            <w:vAlign w:val="center"/>
          </w:tcPr>
          <w:p>
            <w:r>
              <w:rPr>
                <w:sz w:val="18"/>
              </w:rPr>
              <w:t>7. Language</w:t>
            </w:r>
          </w:p>
        </w:tc>
        <w:tc>
          <w:tcPr>
            <w:tcW w:type="dxa" w:w="5112"/>
            <w:vAlign w:val="center"/>
          </w:tcPr>
          <w:p>
            <w:r>
              <w:rPr>
                <w:sz w:val="18"/>
              </w:rPr>
              <w:t>Hindi or Marathi switch</w:t>
            </w:r>
          </w:p>
        </w:tc>
      </w:tr>
      <w:tr>
        <w:tc>
          <w:tcPr>
            <w:tcW w:type="dxa" w:w="5112"/>
            <w:vAlign w:val="center"/>
          </w:tcPr>
          <w:p>
            <w:r>
              <w:rPr>
                <w:sz w:val="18"/>
              </w:rPr>
              <w:t>8. After Action</w:t>
            </w:r>
          </w:p>
        </w:tc>
        <w:tc>
          <w:tcPr>
            <w:tcW w:type="dxa" w:w="5112"/>
            <w:vAlign w:val="center"/>
          </w:tcPr>
          <w:p>
            <w:r>
              <w:rPr>
                <w:sz w:val="18"/>
              </w:rPr>
              <w:t>Incident Mode with timeline</w:t>
            </w:r>
          </w:p>
        </w:tc>
      </w:tr>
      <w:tr>
        <w:tc>
          <w:tcPr>
            <w:tcW w:type="dxa" w:w="5112"/>
            <w:vAlign w:val="center"/>
          </w:tcPr>
          <w:p>
            <w:r>
              <w:rPr>
                <w:sz w:val="18"/>
              </w:rPr>
              <w:t>9. Privacy</w:t>
            </w:r>
          </w:p>
        </w:tc>
        <w:tc>
          <w:tcPr>
            <w:tcW w:type="dxa" w:w="5112"/>
            <w:vAlign w:val="center"/>
          </w:tcPr>
          <w:p>
            <w:r>
              <w:rPr>
                <w:sz w:val="18"/>
              </w:rPr>
              <w:t>Delete analysis demonstration</w:t>
            </w:r>
          </w:p>
        </w:tc>
      </w:tr>
    </w:tbl>
    <w:p/>
    <w:p>
      <w:pPr>
        <w:pStyle w:val="Heading1"/>
      </w:pPr>
      <w:r>
        <w:t>17. Acceptance Criteria</w:t>
      </w:r>
    </w:p>
    <w:p>
      <w:pPr>
        <w:pStyle w:val="ListBullet"/>
        <w:spacing w:after="40"/>
      </w:pPr>
      <w:r>
        <w:t>A first-time user can understand the purpose of the application within seconds.</w:t>
      </w:r>
    </w:p>
    <w:p>
      <w:pPr>
        <w:pStyle w:val="ListBullet"/>
        <w:spacing w:after="40"/>
      </w:pPr>
      <w:r>
        <w:t>Core analysis can be completed without an account.</w:t>
      </w:r>
    </w:p>
    <w:p>
      <w:pPr>
        <w:pStyle w:val="ListBullet"/>
        <w:spacing w:after="40"/>
      </w:pPr>
      <w:r>
        <w:t>At least one screenshot scenario works end-to-end.</w:t>
      </w:r>
    </w:p>
    <w:p>
      <w:pPr>
        <w:pStyle w:val="ListBullet"/>
        <w:spacing w:after="40"/>
      </w:pPr>
      <w:r>
        <w:t>At least three manipulation patterns are detected reliably in the demo dataset.</w:t>
      </w:r>
    </w:p>
    <w:p>
      <w:pPr>
        <w:pStyle w:val="ListBullet"/>
        <w:spacing w:after="40"/>
      </w:pPr>
      <w:r>
        <w:t>Every displayed finding can be traced to evidence.</w:t>
      </w:r>
    </w:p>
    <w:p>
      <w:pPr>
        <w:pStyle w:val="ListBullet"/>
        <w:spacing w:after="40"/>
      </w:pPr>
      <w:r>
        <w:t>Uncertain/insufficient evidence is visibly labelled.</w:t>
      </w:r>
    </w:p>
    <w:p>
      <w:pPr>
        <w:pStyle w:val="ListBullet"/>
        <w:spacing w:after="40"/>
      </w:pPr>
      <w:r>
        <w:t>Verification uses controlled authoritative sources.</w:t>
      </w:r>
    </w:p>
    <w:p>
      <w:pPr>
        <w:pStyle w:val="ListBullet"/>
        <w:spacing w:after="40"/>
      </w:pPr>
      <w:r>
        <w:t>English, Hindi and Marathi interfaces are demonstrable.</w:t>
      </w:r>
    </w:p>
    <w:p>
      <w:pPr>
        <w:pStyle w:val="ListBullet"/>
        <w:spacing w:after="40"/>
      </w:pPr>
      <w:r>
        <w:t>No prohibited investment recommendation is generated.</w:t>
      </w:r>
    </w:p>
    <w:p>
      <w:pPr>
        <w:pStyle w:val="ListBullet"/>
        <w:spacing w:after="40"/>
      </w:pPr>
      <w:r>
        <w:t>No OTP/PIN/password collection exists.</w:t>
      </w:r>
    </w:p>
    <w:p>
      <w:pPr>
        <w:pStyle w:val="ListBullet"/>
        <w:spacing w:after="40"/>
      </w:pPr>
      <w:r>
        <w:t>User can delete an analysis.</w:t>
      </w:r>
    </w:p>
    <w:p>
      <w:pPr>
        <w:pStyle w:val="ListBullet"/>
        <w:spacing w:after="40"/>
      </w:pPr>
      <w:r>
        <w:t>Primary journey is usable on a mobile viewport.</w:t>
      </w:r>
    </w:p>
    <w:p>
      <w:pPr>
        <w:pStyle w:val="ListBullet"/>
        <w:spacing w:after="40"/>
      </w:pPr>
      <w:r>
        <w:t>Core journey has automated test coverage.</w:t>
      </w:r>
    </w:p>
    <w:p>
      <w:pPr>
        <w:pStyle w:val="Heading1"/>
      </w:pPr>
      <w:r>
        <w:t>18. Out of Scope for MVP</w:t>
      </w:r>
    </w:p>
    <w:p>
      <w:pPr>
        <w:pStyle w:val="ListBullet"/>
        <w:spacing w:after="40"/>
      </w:pPr>
      <w:r>
        <w:t>Stock-price prediction.</w:t>
      </w:r>
    </w:p>
    <w:p>
      <w:pPr>
        <w:pStyle w:val="ListBullet"/>
        <w:spacing w:after="40"/>
      </w:pPr>
      <w:r>
        <w:t>Portfolio optimization.</w:t>
      </w:r>
    </w:p>
    <w:p>
      <w:pPr>
        <w:pStyle w:val="ListBullet"/>
        <w:spacing w:after="40"/>
      </w:pPr>
      <w:r>
        <w:t>Buy/sell/hold recommendations.</w:t>
      </w:r>
    </w:p>
    <w:p>
      <w:pPr>
        <w:pStyle w:val="ListBullet"/>
        <w:spacing w:after="40"/>
      </w:pPr>
      <w:r>
        <w:t>Broker integration.</w:t>
      </w:r>
    </w:p>
    <w:p>
      <w:pPr>
        <w:pStyle w:val="ListBullet"/>
        <w:spacing w:after="40"/>
      </w:pPr>
      <w:r>
        <w:t>Trading execution.</w:t>
      </w:r>
    </w:p>
    <w:p>
      <w:pPr>
        <w:pStyle w:val="ListBullet"/>
        <w:spacing w:after="40"/>
      </w:pPr>
      <w:r>
        <w:t>Investment-product promotion.</w:t>
      </w:r>
    </w:p>
    <w:p>
      <w:pPr>
        <w:pStyle w:val="ListBullet"/>
        <w:spacing w:after="40"/>
      </w:pPr>
      <w:r>
        <w:t>Commission-based monetization.</w:t>
      </w:r>
    </w:p>
    <w:p>
      <w:pPr>
        <w:pStyle w:val="ListBullet"/>
        <w:spacing w:after="40"/>
      </w:pPr>
      <w:r>
        <w:t>Automatic fund recovery.</w:t>
      </w:r>
    </w:p>
    <w:p>
      <w:pPr>
        <w:pStyle w:val="ListBullet"/>
        <w:spacing w:after="40"/>
      </w:pPr>
      <w:r>
        <w:t>Automatic police/bank complaints submitted without user confirmation.</w:t>
      </w:r>
    </w:p>
    <w:p>
      <w:pPr>
        <w:pStyle w:val="ListBullet"/>
        <w:spacing w:after="40"/>
      </w:pPr>
      <w:r>
        <w:t>Reading SMS inboxes.</w:t>
      </w:r>
    </w:p>
    <w:p>
      <w:pPr>
        <w:pStyle w:val="ListBullet"/>
        <w:spacing w:after="40"/>
      </w:pPr>
      <w:r>
        <w:t>Collecting OTPs or banking credentials.</w:t>
      </w:r>
    </w:p>
    <w:p>
      <w:pPr>
        <w:pStyle w:val="ListBullet"/>
        <w:spacing w:after="40"/>
      </w:pPr>
      <w:r>
        <w:t>Background surveillance of messaging apps.</w:t>
      </w:r>
    </w:p>
    <w:p>
      <w:pPr>
        <w:pStyle w:val="ListBullet"/>
        <w:spacing w:after="40"/>
      </w:pPr>
      <w:r>
        <w:t>Uncontrolled web scraping.</w:t>
      </w:r>
    </w:p>
    <w:p>
      <w:pPr>
        <w:pStyle w:val="Heading1"/>
      </w:pPr>
      <w:r>
        <w:t>19. Future Extensions</w:t>
      </w:r>
    </w:p>
    <w:p>
      <w:pPr>
        <w:pStyle w:val="ListBullet"/>
        <w:spacing w:after="40"/>
      </w:pPr>
      <w:r>
        <w:t>Voice-first regional-language interaction.</w:t>
      </w:r>
    </w:p>
    <w:p>
      <w:pPr>
        <w:pStyle w:val="ListBullet"/>
        <w:spacing w:after="40"/>
      </w:pPr>
      <w:r>
        <w:t>WhatsApp/Telegram share-to-check integrations where permissions and platform rules allow.</w:t>
      </w:r>
    </w:p>
    <w:p>
      <w:pPr>
        <w:pStyle w:val="ListBullet"/>
        <w:spacing w:after="40"/>
      </w:pPr>
      <w:r>
        <w:t>Browser extension for suspicious financial pages.</w:t>
      </w:r>
    </w:p>
    <w:p>
      <w:pPr>
        <w:pStyle w:val="ListBullet"/>
        <w:spacing w:after="40"/>
      </w:pPr>
      <w:r>
        <w:t>On-device OCR/LLM mode.</w:t>
      </w:r>
    </w:p>
    <w:p>
      <w:pPr>
        <w:pStyle w:val="ListBullet"/>
        <w:spacing w:after="40"/>
      </w:pPr>
      <w:r>
        <w:t>Family-assisted safety mode.</w:t>
      </w:r>
    </w:p>
    <w:p>
      <w:pPr>
        <w:pStyle w:val="ListBullet"/>
        <w:spacing w:after="40"/>
      </w:pPr>
      <w:r>
        <w:t>Expanded Indian language coverage.</w:t>
      </w:r>
    </w:p>
    <w:p>
      <w:pPr>
        <w:pStyle w:val="ListBullet"/>
        <w:spacing w:after="40"/>
      </w:pPr>
      <w:r>
        <w:t>Continuous verification-source freshness monitoring.</w:t>
      </w:r>
    </w:p>
    <w:p>
      <w:pPr>
        <w:pStyle w:val="ListBullet"/>
        <w:spacing w:after="40"/>
      </w:pPr>
      <w:r>
        <w:t>Official reporting workflow integrations subject to authorization and policy.</w:t>
      </w:r>
    </w:p>
    <w:p>
      <w:pPr>
        <w:pStyle w:val="Heading1"/>
      </w:pPr>
      <w:r>
        <w:t>20. Build Priority</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Priority</w:t>
            </w:r>
          </w:p>
        </w:tc>
        <w:tc>
          <w:tcPr>
            <w:tcW w:type="dxa" w:w="5112"/>
            <w:shd w:fill="17324D"/>
          </w:tcPr>
          <w:p>
            <w:r>
              <w:rPr>
                <w:b/>
                <w:color w:val="FFFFFF"/>
                <w:sz w:val="18"/>
              </w:rPr>
              <w:t>Scope</w:t>
            </w:r>
          </w:p>
        </w:tc>
      </w:tr>
      <w:tr>
        <w:tc>
          <w:tcPr>
            <w:tcW w:type="dxa" w:w="5112"/>
            <w:vAlign w:val="center"/>
          </w:tcPr>
          <w:p>
            <w:r>
              <w:rPr>
                <w:sz w:val="18"/>
              </w:rPr>
              <w:t>P0</w:t>
            </w:r>
          </w:p>
        </w:tc>
        <w:tc>
          <w:tcPr>
            <w:tcW w:type="dxa" w:w="5112"/>
            <w:vAlign w:val="center"/>
          </w:tcPr>
          <w:p>
            <w:r>
              <w:rPr>
                <w:sz w:val="18"/>
              </w:rPr>
              <w:t>Home, Check, OCR/input, Analysis, Manipulation Map, Evidence, Verification, Safety States, languages, privacy deletion</w:t>
            </w:r>
          </w:p>
        </w:tc>
      </w:tr>
      <w:tr>
        <w:tc>
          <w:tcPr>
            <w:tcW w:type="dxa" w:w="5112"/>
            <w:vAlign w:val="center"/>
          </w:tcPr>
          <w:p>
            <w:r>
              <w:rPr>
                <w:sz w:val="18"/>
              </w:rPr>
              <w:t>P1</w:t>
            </w:r>
          </w:p>
        </w:tc>
        <w:tc>
          <w:tcPr>
            <w:tcW w:type="dxa" w:w="5112"/>
            <w:vAlign w:val="center"/>
          </w:tcPr>
          <w:p>
            <w:r>
              <w:rPr>
                <w:sz w:val="18"/>
              </w:rPr>
              <w:t>Incident timeline, OCR correction, multiple evidence items, accessibility enhancements</w:t>
            </w:r>
          </w:p>
        </w:tc>
      </w:tr>
      <w:tr>
        <w:tc>
          <w:tcPr>
            <w:tcW w:type="dxa" w:w="5112"/>
            <w:vAlign w:val="center"/>
          </w:tcPr>
          <w:p>
            <w:r>
              <w:rPr>
                <w:sz w:val="18"/>
              </w:rPr>
              <w:t>P2</w:t>
            </w:r>
          </w:p>
        </w:tc>
        <w:tc>
          <w:tcPr>
            <w:tcW w:type="dxa" w:w="5112"/>
            <w:vAlign w:val="center"/>
          </w:tcPr>
          <w:p>
            <w:r>
              <w:rPr>
                <w:sz w:val="18"/>
              </w:rPr>
              <w:t>Voice, integrations, browser extension, expanded language set</w:t>
            </w:r>
          </w:p>
        </w:tc>
      </w:tr>
    </w:tbl>
    <w:p/>
    <w:p>
      <w:pPr>
        <w:pStyle w:val="Heading1"/>
      </w:pPr>
      <w:r>
        <w:t>21. Developer Handoff Checklist</w:t>
      </w:r>
    </w:p>
    <w:p>
      <w:pPr>
        <w:pStyle w:val="ListBullet"/>
        <w:spacing w:after="40"/>
      </w:pPr>
      <w:r>
        <w:t>Use this ARD with PRD and TRD together.</w:t>
      </w:r>
    </w:p>
    <w:p>
      <w:pPr>
        <w:pStyle w:val="ListBullet"/>
        <w:spacing w:after="40"/>
      </w:pPr>
      <w:r>
        <w:t>Do not invent features outside the documented scope without updating requirements.</w:t>
      </w:r>
    </w:p>
    <w:p>
      <w:pPr>
        <w:pStyle w:val="ListBullet"/>
        <w:spacing w:after="40"/>
      </w:pPr>
      <w:r>
        <w:t>Implement P0 before P1/P2.</w:t>
      </w:r>
    </w:p>
    <w:p>
      <w:pPr>
        <w:pStyle w:val="ListBullet"/>
        <w:spacing w:after="40"/>
      </w:pPr>
      <w:r>
        <w:t>Build safety guardrails before connecting the LLM to user-facing output.</w:t>
      </w:r>
    </w:p>
    <w:p>
      <w:pPr>
        <w:pStyle w:val="ListBullet"/>
        <w:spacing w:after="40"/>
      </w:pPr>
      <w:r>
        <w:t>Use synthetic demo data for the hackathon.</w:t>
      </w:r>
    </w:p>
    <w:p>
      <w:pPr>
        <w:pStyle w:val="ListBullet"/>
        <w:spacing w:after="40"/>
      </w:pPr>
      <w:r>
        <w:t>Keep verification sources in a versioned registry.</w:t>
      </w:r>
    </w:p>
    <w:p>
      <w:pPr>
        <w:pStyle w:val="ListBullet"/>
        <w:spacing w:after="40"/>
      </w:pPr>
      <w:r>
        <w:t>Test prohibited-output scenarios before demo deployment.</w:t>
      </w:r>
    </w:p>
    <w:p>
      <w:pPr>
        <w:pStyle w:val="ListBullet"/>
        <w:spacing w:after="40"/>
      </w:pPr>
      <w:r>
        <w:t>Keep all user-facing copy understandable to a non-financial expert.</w:t>
      </w:r>
    </w:p>
    <w:p>
      <w:pPr>
        <w:pStyle w:val="Heading1"/>
      </w:pPr>
      <w:r>
        <w:t>22. Final Product Definition</w:t>
      </w:r>
    </w:p>
    <w:p>
      <w:r>
        <w:rPr>
          <w:b/>
        </w:rPr>
        <w:t>NiveshGuard is not an investment advisor, trading assistant or generic scam chatbot. It is a safety layer between a user and a potentially manipulative financial communication: the application helps the user understand what is being claimed, see what evidence supports the claim, identify observable pressure patterns, independently verify important facts, and choose safer next steps.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NiveshGuard App Requirements Document v1.0 • SANGYAN 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