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1" w:type="dxa"/>
        <w:tblInd w:w="-62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236"/>
        <w:gridCol w:w="2706"/>
        <w:gridCol w:w="2148"/>
        <w:gridCol w:w="1621"/>
      </w:tblGrid>
      <w:tr w:rsidR="00E920DB" w:rsidRPr="006522D5" w14:paraId="6864EA80" w14:textId="77777777" w:rsidTr="004F5E40">
        <w:trPr>
          <w:trHeight w:val="448"/>
        </w:trPr>
        <w:tc>
          <w:tcPr>
            <w:tcW w:w="9711" w:type="dxa"/>
            <w:gridSpan w:val="4"/>
            <w:shd w:val="clear" w:color="auto" w:fill="auto"/>
          </w:tcPr>
          <w:p w14:paraId="07DA9A7A" w14:textId="77777777" w:rsidR="00E920DB" w:rsidRPr="006522D5" w:rsidRDefault="00E920DB" w:rsidP="004F5E40">
            <w:pPr>
              <w:spacing w:before="120" w:after="120"/>
              <w:ind w:left="-567"/>
              <w:jc w:val="center"/>
              <w:rPr>
                <w:rFonts w:ascii="Calibri Light" w:hAnsi="Calibri Light" w:cs="Calibri Light"/>
                <w:b/>
                <w:bCs/>
                <w:color w:val="000066"/>
                <w:sz w:val="22"/>
                <w:szCs w:val="22"/>
                <w:u w:val="single"/>
                <w:lang w:val="es-PE"/>
              </w:rPr>
            </w:pPr>
            <w:r w:rsidRPr="006522D5">
              <w:rPr>
                <w:rFonts w:ascii="Calibri" w:hAnsi="Calibri" w:cs="Calibri"/>
                <w:b/>
                <w:bCs/>
                <w:color w:val="000066"/>
                <w:sz w:val="28"/>
                <w:szCs w:val="28"/>
              </w:rPr>
              <w:t>2</w:t>
            </w:r>
            <w:r w:rsidRPr="006522D5">
              <w:rPr>
                <w:rFonts w:ascii="Calibri" w:hAnsi="Calibri" w:cs="Calibri"/>
                <w:b/>
                <w:bCs/>
                <w:color w:val="000066"/>
                <w:sz w:val="28"/>
                <w:szCs w:val="28"/>
                <w:vertAlign w:val="superscript"/>
              </w:rPr>
              <w:t xml:space="preserve">DA </w:t>
            </w:r>
            <w:r w:rsidRPr="006522D5">
              <w:rPr>
                <w:rFonts w:ascii="Calibri" w:hAnsi="Calibri" w:cs="Calibri"/>
                <w:b/>
                <w:bCs/>
                <w:color w:val="000066"/>
                <w:sz w:val="28"/>
                <w:szCs w:val="28"/>
              </w:rPr>
              <w:t xml:space="preserve">PRACTICA DE LINEAMIENTOS DE </w:t>
            </w:r>
            <w:r w:rsidRPr="006522D5">
              <w:rPr>
                <w:rFonts w:ascii="Calibri" w:hAnsi="Calibri" w:cs="Calibri"/>
                <w:b/>
                <w:bCs/>
                <w:color w:val="000066"/>
                <w:sz w:val="28"/>
                <w:szCs w:val="28"/>
                <w:lang w:eastAsia="en-US"/>
              </w:rPr>
              <w:t>CIERRE DE MINAS</w:t>
            </w:r>
            <w:r>
              <w:rPr>
                <w:rFonts w:ascii="Calibri" w:hAnsi="Calibri" w:cs="Calibri"/>
                <w:b/>
                <w:bCs/>
                <w:color w:val="000066"/>
                <w:sz w:val="28"/>
                <w:szCs w:val="28"/>
                <w:lang w:eastAsia="en-US"/>
              </w:rPr>
              <w:t xml:space="preserve"> (TEORIA)</w:t>
            </w:r>
          </w:p>
        </w:tc>
      </w:tr>
      <w:tr w:rsidR="00E920DB" w:rsidRPr="006522D5" w14:paraId="689A92E9" w14:textId="77777777" w:rsidTr="004F5E40">
        <w:trPr>
          <w:trHeight w:val="429"/>
        </w:trPr>
        <w:tc>
          <w:tcPr>
            <w:tcW w:w="3236" w:type="dxa"/>
            <w:shd w:val="clear" w:color="auto" w:fill="auto"/>
          </w:tcPr>
          <w:p w14:paraId="02851978" w14:textId="77777777" w:rsidR="00E920DB" w:rsidRPr="006522D5" w:rsidRDefault="00E920DB" w:rsidP="004F5E40">
            <w:pPr>
              <w:spacing w:before="120" w:after="120"/>
              <w:jc w:val="both"/>
              <w:rPr>
                <w:rFonts w:ascii="Calibri Light" w:hAnsi="Calibri Light" w:cs="Calibri Light"/>
                <w:b/>
                <w:bCs/>
                <w:color w:val="000066"/>
                <w:sz w:val="22"/>
                <w:szCs w:val="22"/>
                <w:lang w:val="es-PE"/>
              </w:rPr>
            </w:pPr>
            <w:r w:rsidRPr="006522D5">
              <w:rPr>
                <w:rFonts w:ascii="Calibri Light" w:hAnsi="Calibri Light" w:cs="Calibri Light"/>
                <w:b/>
                <w:bCs/>
                <w:color w:val="000066"/>
                <w:sz w:val="22"/>
                <w:szCs w:val="22"/>
                <w:lang w:val="es-PE"/>
              </w:rPr>
              <w:t>NOMBRES Y APELLIDOS</w:t>
            </w:r>
          </w:p>
        </w:tc>
        <w:tc>
          <w:tcPr>
            <w:tcW w:w="6475" w:type="dxa"/>
            <w:gridSpan w:val="3"/>
            <w:shd w:val="clear" w:color="auto" w:fill="auto"/>
          </w:tcPr>
          <w:p w14:paraId="472EC724" w14:textId="3C11DC82" w:rsidR="00E920DB" w:rsidRPr="006522D5" w:rsidRDefault="00BB0281" w:rsidP="004F5E40">
            <w:pPr>
              <w:spacing w:before="120" w:after="120"/>
              <w:jc w:val="both"/>
              <w:rPr>
                <w:rFonts w:ascii="Calibri Light" w:hAnsi="Calibri Light" w:cs="Calibri Light"/>
                <w:b/>
                <w:bCs/>
                <w:color w:val="000066"/>
                <w:sz w:val="22"/>
                <w:szCs w:val="22"/>
                <w:lang w:val="es-PE"/>
              </w:rPr>
            </w:pPr>
            <w:r>
              <w:rPr>
                <w:rFonts w:ascii="Calibri Light" w:hAnsi="Calibri Light" w:cs="Calibri Light"/>
                <w:b/>
                <w:bCs/>
                <w:color w:val="000066"/>
                <w:sz w:val="22"/>
                <w:szCs w:val="22"/>
                <w:lang w:val="es-PE"/>
              </w:rPr>
              <w:t>Flores Ponte Luis Fernando</w:t>
            </w:r>
          </w:p>
        </w:tc>
      </w:tr>
      <w:tr w:rsidR="00E920DB" w:rsidRPr="006522D5" w14:paraId="7D41DA9D" w14:textId="77777777" w:rsidTr="004F5E40">
        <w:trPr>
          <w:trHeight w:val="429"/>
        </w:trPr>
        <w:tc>
          <w:tcPr>
            <w:tcW w:w="3236" w:type="dxa"/>
            <w:shd w:val="clear" w:color="auto" w:fill="auto"/>
          </w:tcPr>
          <w:p w14:paraId="0D02D588" w14:textId="77777777" w:rsidR="00E920DB" w:rsidRPr="006522D5" w:rsidRDefault="00E920DB" w:rsidP="004F5E40">
            <w:pPr>
              <w:spacing w:before="120" w:after="120"/>
              <w:jc w:val="both"/>
              <w:rPr>
                <w:rFonts w:ascii="Calibri Light" w:hAnsi="Calibri Light" w:cs="Calibri Light"/>
                <w:b/>
                <w:bCs/>
                <w:color w:val="000066"/>
                <w:sz w:val="22"/>
                <w:szCs w:val="22"/>
                <w:lang w:val="es-PE"/>
              </w:rPr>
            </w:pPr>
            <w:r w:rsidRPr="006522D5">
              <w:rPr>
                <w:rFonts w:ascii="Calibri Light" w:hAnsi="Calibri Light" w:cs="Calibri Light"/>
                <w:b/>
                <w:bCs/>
                <w:color w:val="000066"/>
                <w:sz w:val="22"/>
                <w:szCs w:val="22"/>
                <w:lang w:val="es-PE"/>
              </w:rPr>
              <w:t>CÓDIGO DEL ALUMNO</w:t>
            </w:r>
          </w:p>
        </w:tc>
        <w:tc>
          <w:tcPr>
            <w:tcW w:w="2706" w:type="dxa"/>
            <w:shd w:val="clear" w:color="auto" w:fill="auto"/>
          </w:tcPr>
          <w:p w14:paraId="40C67090" w14:textId="55455506" w:rsidR="00E920DB" w:rsidRPr="006522D5" w:rsidRDefault="00BB0281" w:rsidP="004F5E40">
            <w:pPr>
              <w:spacing w:before="120" w:after="120"/>
              <w:jc w:val="both"/>
              <w:rPr>
                <w:rFonts w:ascii="Calibri Light" w:hAnsi="Calibri Light" w:cs="Calibri Light"/>
                <w:b/>
                <w:bCs/>
                <w:color w:val="000066"/>
                <w:sz w:val="22"/>
                <w:szCs w:val="22"/>
                <w:lang w:val="es-PE"/>
              </w:rPr>
            </w:pPr>
            <w:r>
              <w:rPr>
                <w:rFonts w:ascii="Calibri Light" w:hAnsi="Calibri Light" w:cs="Calibri Light"/>
                <w:b/>
                <w:bCs/>
                <w:color w:val="000066"/>
                <w:sz w:val="22"/>
                <w:szCs w:val="22"/>
                <w:lang w:val="es-PE"/>
              </w:rPr>
              <w:t>20180003H</w:t>
            </w:r>
          </w:p>
        </w:tc>
        <w:tc>
          <w:tcPr>
            <w:tcW w:w="2148" w:type="dxa"/>
            <w:shd w:val="clear" w:color="auto" w:fill="auto"/>
          </w:tcPr>
          <w:p w14:paraId="17D919F5" w14:textId="77777777" w:rsidR="00E920DB" w:rsidRPr="006522D5" w:rsidRDefault="00E920DB" w:rsidP="004F5E40">
            <w:pPr>
              <w:spacing w:before="120" w:after="120"/>
              <w:jc w:val="both"/>
              <w:rPr>
                <w:rFonts w:ascii="Calibri Light" w:hAnsi="Calibri Light" w:cs="Calibri Light"/>
                <w:b/>
                <w:bCs/>
                <w:color w:val="000066"/>
                <w:sz w:val="22"/>
                <w:szCs w:val="22"/>
                <w:lang w:val="es-PE"/>
              </w:rPr>
            </w:pPr>
            <w:r w:rsidRPr="006522D5">
              <w:rPr>
                <w:rFonts w:ascii="Calibri Light" w:hAnsi="Calibri Light" w:cs="Calibri Light"/>
                <w:b/>
                <w:bCs/>
                <w:color w:val="000066"/>
                <w:sz w:val="22"/>
                <w:szCs w:val="22"/>
                <w:lang w:val="es-PE"/>
              </w:rPr>
              <w:t>CODIGO DEL CURSO</w:t>
            </w:r>
          </w:p>
        </w:tc>
        <w:tc>
          <w:tcPr>
            <w:tcW w:w="1621" w:type="dxa"/>
            <w:shd w:val="clear" w:color="auto" w:fill="auto"/>
          </w:tcPr>
          <w:p w14:paraId="7EC59714" w14:textId="77777777" w:rsidR="00E920DB" w:rsidRPr="006522D5" w:rsidRDefault="00E920DB" w:rsidP="004F5E40">
            <w:pPr>
              <w:spacing w:before="120" w:after="120"/>
              <w:jc w:val="both"/>
              <w:rPr>
                <w:rFonts w:ascii="Calibri Light" w:hAnsi="Calibri Light" w:cs="Calibri Light"/>
                <w:b/>
                <w:bCs/>
                <w:color w:val="000066"/>
                <w:sz w:val="22"/>
                <w:szCs w:val="22"/>
                <w:lang w:val="es-PE"/>
              </w:rPr>
            </w:pPr>
            <w:r w:rsidRPr="006522D5">
              <w:rPr>
                <w:rFonts w:ascii="Calibri Light" w:hAnsi="Calibri Light" w:cs="Calibri Light"/>
                <w:b/>
                <w:bCs/>
                <w:color w:val="000066"/>
                <w:sz w:val="22"/>
                <w:szCs w:val="22"/>
                <w:lang w:val="es-PE"/>
              </w:rPr>
              <w:t xml:space="preserve">SM </w:t>
            </w:r>
            <w:r>
              <w:rPr>
                <w:rFonts w:ascii="Calibri Light" w:hAnsi="Calibri Light" w:cs="Calibri Light"/>
                <w:b/>
                <w:bCs/>
                <w:color w:val="000066"/>
                <w:sz w:val="22"/>
                <w:szCs w:val="22"/>
                <w:lang w:val="es-PE"/>
              </w:rPr>
              <w:t>943</w:t>
            </w:r>
            <w:r w:rsidRPr="006522D5">
              <w:rPr>
                <w:rFonts w:ascii="Calibri Light" w:hAnsi="Calibri Light" w:cs="Calibri Light"/>
                <w:b/>
                <w:bCs/>
                <w:color w:val="000066"/>
                <w:sz w:val="22"/>
                <w:szCs w:val="22"/>
                <w:lang w:val="es-PE"/>
              </w:rPr>
              <w:t>R</w:t>
            </w:r>
          </w:p>
        </w:tc>
      </w:tr>
    </w:tbl>
    <w:p w14:paraId="19A71B1B" w14:textId="2B2FEE72" w:rsidR="006A16A1" w:rsidRDefault="006A16A1"/>
    <w:p w14:paraId="68DB4927" w14:textId="3F9250C8" w:rsidR="00E920DB" w:rsidRDefault="00E920DB"/>
    <w:p w14:paraId="6B31ECE8" w14:textId="0C97680F" w:rsidR="00E920DB" w:rsidRDefault="00BB0281" w:rsidP="00681177">
      <w:pPr>
        <w:spacing w:after="240"/>
        <w:rPr>
          <w:noProof/>
        </w:rPr>
      </w:pPr>
      <w:r>
        <w:rPr>
          <w:noProof/>
        </w:rPr>
        <w:drawing>
          <wp:inline distT="0" distB="0" distL="0" distR="0" wp14:anchorId="370D2BFA" wp14:editId="5ED0AD2A">
            <wp:extent cx="5731510" cy="1602740"/>
            <wp:effectExtent l="0" t="0" r="254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731510" cy="1602740"/>
                    </a:xfrm>
                    <a:prstGeom prst="rect">
                      <a:avLst/>
                    </a:prstGeom>
                  </pic:spPr>
                </pic:pic>
              </a:graphicData>
            </a:graphic>
          </wp:inline>
        </w:drawing>
      </w:r>
    </w:p>
    <w:p w14:paraId="277FB7A1" w14:textId="5FDC440D" w:rsidR="00BB0281" w:rsidRDefault="00681177" w:rsidP="00681177">
      <w:pPr>
        <w:spacing w:after="240"/>
      </w:pPr>
      <w:r>
        <w:t>Solución 1:</w:t>
      </w:r>
    </w:p>
    <w:p w14:paraId="5D6529B7" w14:textId="686F413E" w:rsidR="002F2CB6" w:rsidRDefault="002F2CB6" w:rsidP="00681177">
      <w:pPr>
        <w:spacing w:after="240"/>
      </w:pPr>
      <w:r>
        <w:t>Los aspectos técnicos son:</w:t>
      </w:r>
    </w:p>
    <w:p w14:paraId="7626DE81" w14:textId="67BFE720" w:rsidR="002F2CB6" w:rsidRDefault="002F2CB6" w:rsidP="005A6F58">
      <w:pPr>
        <w:pStyle w:val="Prrafodelista"/>
        <w:numPr>
          <w:ilvl w:val="0"/>
          <w:numId w:val="1"/>
        </w:numPr>
        <w:spacing w:after="240"/>
      </w:pPr>
      <w:r>
        <w:t>Desmantelamiento</w:t>
      </w:r>
    </w:p>
    <w:p w14:paraId="4C32FD3D" w14:textId="0D1A2170" w:rsidR="002F2CB6" w:rsidRDefault="002F2CB6" w:rsidP="005A6F58">
      <w:pPr>
        <w:pStyle w:val="Prrafodelista"/>
        <w:numPr>
          <w:ilvl w:val="0"/>
          <w:numId w:val="1"/>
        </w:numPr>
        <w:spacing w:after="240"/>
      </w:pPr>
      <w:r>
        <w:t>Demolición</w:t>
      </w:r>
    </w:p>
    <w:p w14:paraId="5B29E919" w14:textId="08F80796" w:rsidR="002F2CB6" w:rsidRDefault="002F2CB6" w:rsidP="005A6F58">
      <w:pPr>
        <w:pStyle w:val="Prrafodelista"/>
        <w:numPr>
          <w:ilvl w:val="0"/>
          <w:numId w:val="1"/>
        </w:numPr>
        <w:spacing w:after="240"/>
      </w:pPr>
      <w:r>
        <w:t>Estabilización Geoquímica</w:t>
      </w:r>
    </w:p>
    <w:p w14:paraId="71E0390C" w14:textId="12D479A5" w:rsidR="002F2CB6" w:rsidRDefault="002F2CB6" w:rsidP="005A6F58">
      <w:pPr>
        <w:pStyle w:val="Prrafodelista"/>
        <w:numPr>
          <w:ilvl w:val="0"/>
          <w:numId w:val="1"/>
        </w:numPr>
        <w:spacing w:after="240"/>
      </w:pPr>
      <w:r>
        <w:t>Estabilización Física</w:t>
      </w:r>
    </w:p>
    <w:p w14:paraId="41F980D0" w14:textId="74B4E166" w:rsidR="002F2CB6" w:rsidRDefault="002F2CB6" w:rsidP="005A6F58">
      <w:pPr>
        <w:pStyle w:val="Prrafodelista"/>
        <w:numPr>
          <w:ilvl w:val="0"/>
          <w:numId w:val="1"/>
        </w:numPr>
        <w:spacing w:after="240"/>
      </w:pPr>
      <w:r>
        <w:t>Establecimiento de la Forma de Terreno</w:t>
      </w:r>
    </w:p>
    <w:p w14:paraId="1BCF845B" w14:textId="32DEDD84" w:rsidR="002F2CB6" w:rsidRDefault="002F2CB6" w:rsidP="005A6F58">
      <w:pPr>
        <w:pStyle w:val="Prrafodelista"/>
        <w:numPr>
          <w:ilvl w:val="0"/>
          <w:numId w:val="1"/>
        </w:numPr>
        <w:spacing w:after="240"/>
      </w:pPr>
      <w:r>
        <w:t>Revegetación</w:t>
      </w:r>
    </w:p>
    <w:p w14:paraId="031553E8" w14:textId="2B245E84" w:rsidR="002F2CB6" w:rsidRDefault="002F2CB6" w:rsidP="005A6F58">
      <w:pPr>
        <w:pStyle w:val="Prrafodelista"/>
        <w:numPr>
          <w:ilvl w:val="0"/>
          <w:numId w:val="1"/>
        </w:numPr>
        <w:spacing w:after="240"/>
      </w:pPr>
      <w:r>
        <w:t>Rehabilitación</w:t>
      </w:r>
    </w:p>
    <w:p w14:paraId="64408B46" w14:textId="247B9AFD" w:rsidR="002F2CB6" w:rsidRDefault="002F2CB6" w:rsidP="005A6F58">
      <w:pPr>
        <w:pStyle w:val="Prrafodelista"/>
        <w:numPr>
          <w:ilvl w:val="0"/>
          <w:numId w:val="1"/>
        </w:numPr>
        <w:spacing w:after="240"/>
      </w:pPr>
      <w:r>
        <w:t>Hábitats Acuáticos</w:t>
      </w:r>
    </w:p>
    <w:p w14:paraId="0F26DB71" w14:textId="4B7C3B48" w:rsidR="002F2CB6" w:rsidRDefault="002F2CB6" w:rsidP="005A6F58">
      <w:pPr>
        <w:pStyle w:val="Prrafodelista"/>
        <w:numPr>
          <w:ilvl w:val="0"/>
          <w:numId w:val="1"/>
        </w:numPr>
        <w:spacing w:after="240"/>
      </w:pPr>
      <w:r>
        <w:t>Programas Sociales</w:t>
      </w:r>
    </w:p>
    <w:p w14:paraId="634EE8F7" w14:textId="7D951929" w:rsidR="002F2CB6" w:rsidRDefault="002F2CB6" w:rsidP="002F2CB6">
      <w:pPr>
        <w:spacing w:after="240"/>
      </w:pPr>
      <w:r>
        <w:t>Cuando se acaba la operación minera, la infraestructura en este caso un pad, relavera o botadero se debe des</w:t>
      </w:r>
      <w:r w:rsidR="005A6F58">
        <w:t>mantelar y próximamente garantizar su estabilización geoquímica mediante coberturas y todo el aspecto técnico y estudios que necesite para garantizar el no drenaje de aguas ácidas</w:t>
      </w:r>
      <w:r w:rsidR="009E001B">
        <w:t>, ni alteración en el pH, así como la concentración de metales pasado</w:t>
      </w:r>
      <w:r w:rsidR="005A6F58">
        <w:t>, la estabilización física consiste en que los taludes formados sean estables y monitoreados a lo largo de los años, la forma de terreno consiste en dejar la superficie de operación lo más parecido posible a cuando no se tenía la operación. La revegetación es importante por un tema estabilidad y evitar la filtración de agua de lluvia a la estructura. La rehabilitación implica que tanto se va a trabajar la zona, si será para zona de agricultura, ganado o simplemente no se trabajará en esa área. Es importante monitorear y mitigar el impacto de especies acuáticos, así como la implementación de programas sociales que permitan ver que la estructura (pad, re</w:t>
      </w:r>
      <w:r w:rsidR="009E001B">
        <w:t>la</w:t>
      </w:r>
      <w:r w:rsidR="005A6F58">
        <w:t>vera, botadero) está siendo monitoreada y no causando impactos negativos</w:t>
      </w:r>
    </w:p>
    <w:p w14:paraId="421CF204" w14:textId="7E13EC82" w:rsidR="00681177" w:rsidRDefault="00681177" w:rsidP="00681177">
      <w:pPr>
        <w:spacing w:after="240"/>
      </w:pPr>
      <w:r>
        <w:t>Solución 2:</w:t>
      </w:r>
    </w:p>
    <w:p w14:paraId="76E96606" w14:textId="03080C29" w:rsidR="00681177" w:rsidRDefault="00681177" w:rsidP="00681177">
      <w:pPr>
        <w:spacing w:after="240"/>
      </w:pPr>
      <w:r>
        <w:t xml:space="preserve">Las debilidades </w:t>
      </w:r>
      <w:r>
        <w:t>de los tipos de depósito de relaves son:</w:t>
      </w:r>
    </w:p>
    <w:p w14:paraId="402ED1F5" w14:textId="77777777" w:rsidR="00681177" w:rsidRDefault="00681177" w:rsidP="00681177">
      <w:pPr>
        <w:spacing w:after="240"/>
      </w:pPr>
      <w:r>
        <w:lastRenderedPageBreak/>
        <w:t>Aguas Arriba</w:t>
      </w:r>
    </w:p>
    <w:p w14:paraId="0EC5EE70" w14:textId="465EED53" w:rsidR="00681177" w:rsidRDefault="00681177" w:rsidP="00681177">
      <w:pPr>
        <w:spacing w:after="240"/>
      </w:pPr>
      <w:r>
        <w:t xml:space="preserve">Principalmente por </w:t>
      </w:r>
      <w:r>
        <w:t>la forma en que crece el dique</w:t>
      </w:r>
      <w:r>
        <w:t xml:space="preserve">, ya que </w:t>
      </w:r>
      <w:r>
        <w:t>es inestable físicamente</w:t>
      </w:r>
      <w:r>
        <w:t>. NO</w:t>
      </w:r>
      <w:r>
        <w:t xml:space="preserve"> tiene en donde apoyarse, todo el relave es soportado por una pared delgada.</w:t>
      </w:r>
    </w:p>
    <w:p w14:paraId="1E2FA20B" w14:textId="77777777" w:rsidR="00681177" w:rsidRDefault="00681177" w:rsidP="00681177">
      <w:pPr>
        <w:spacing w:after="240"/>
      </w:pPr>
      <w:r>
        <w:t>Aguas abajo</w:t>
      </w:r>
    </w:p>
    <w:p w14:paraId="1F9CFA76" w14:textId="42C36457" w:rsidR="00681177" w:rsidRDefault="00681177" w:rsidP="00681177">
      <w:pPr>
        <w:spacing w:after="240"/>
      </w:pPr>
      <w:r>
        <w:t>Este tipo de conformación e</w:t>
      </w:r>
      <w:r>
        <w:t>s la de mayor estabilidad, tiene una buena base en donde apoyarse y la forma en que crece el dique es correcta. Sin embargo</w:t>
      </w:r>
      <w:r>
        <w:t>, esta mejor estabilidad involucra</w:t>
      </w:r>
      <w:r>
        <w:t xml:space="preserve"> necesita</w:t>
      </w:r>
      <w:r>
        <w:t>r</w:t>
      </w:r>
      <w:r>
        <w:t xml:space="preserve"> más material para su construcción, haciéndola la más costosa.</w:t>
      </w:r>
    </w:p>
    <w:p w14:paraId="06C5D679" w14:textId="77777777" w:rsidR="00681177" w:rsidRDefault="00681177" w:rsidP="00681177">
      <w:pPr>
        <w:spacing w:after="240"/>
      </w:pPr>
      <w:r>
        <w:t>Línea central</w:t>
      </w:r>
    </w:p>
    <w:p w14:paraId="4AE6C9C7" w14:textId="6EC195D4" w:rsidR="00681177" w:rsidRDefault="00681177" w:rsidP="00681177">
      <w:pPr>
        <w:spacing w:after="240"/>
      </w:pPr>
      <w:r>
        <w:t>L</w:t>
      </w:r>
      <w:r>
        <w:t>a manera en la que crece el dique genera inestabilidad, la mejor forma de encontrar estabilidad es con una mayor base. Sin embargo, en la línea central no hay una base firme donde se apoye.</w:t>
      </w:r>
    </w:p>
    <w:p w14:paraId="49D816C4" w14:textId="01EE4150" w:rsidR="00BB0281" w:rsidRPr="00BB0281" w:rsidRDefault="00BB0281" w:rsidP="00681177">
      <w:pPr>
        <w:spacing w:after="240"/>
      </w:pPr>
    </w:p>
    <w:p w14:paraId="2C4C40F4" w14:textId="150D0822" w:rsidR="00BB0281" w:rsidRPr="00BB0281" w:rsidRDefault="002F2CB6" w:rsidP="00681177">
      <w:pPr>
        <w:spacing w:after="240"/>
      </w:pPr>
      <w:r>
        <w:t xml:space="preserve">Solución 3) </w:t>
      </w:r>
    </w:p>
    <w:p w14:paraId="63EFB587" w14:textId="77777777" w:rsidR="002F2CB6" w:rsidRDefault="002F2CB6" w:rsidP="002F2CB6">
      <w:pPr>
        <w:spacing w:after="240"/>
      </w:pPr>
      <w:r w:rsidRPr="002F2CB6">
        <w:t xml:space="preserve">La integridad geotécnica consiste en evaluar la estabilidad física de un talud ya se </w:t>
      </w:r>
      <w:proofErr w:type="spellStart"/>
      <w:r w:rsidRPr="002F2CB6">
        <w:t>de</w:t>
      </w:r>
      <w:proofErr w:type="spellEnd"/>
      <w:r w:rsidRPr="002F2CB6">
        <w:t xml:space="preserve"> una relavera, pila de lixiviación y verificar esta estabilidad según todos </w:t>
      </w:r>
      <w:proofErr w:type="spellStart"/>
      <w:r w:rsidRPr="002F2CB6">
        <w:t>lo</w:t>
      </w:r>
      <w:proofErr w:type="spellEnd"/>
      <w:r w:rsidRPr="002F2CB6">
        <w:t xml:space="preserve"> parámetros que sean necesarios. Como son Geología, Hidrogeología, Hidrología, Mecánica de suelos y rocas, Geofísica, et</w:t>
      </w:r>
    </w:p>
    <w:p w14:paraId="20BCE999" w14:textId="0A5A6588" w:rsidR="00BB0281" w:rsidRDefault="00BB0281" w:rsidP="00BB0281">
      <w:pPr>
        <w:rPr>
          <w:noProof/>
        </w:rPr>
      </w:pPr>
    </w:p>
    <w:p w14:paraId="48F5C8CE" w14:textId="6C3CE70D" w:rsidR="00BB0281" w:rsidRPr="00BB0281" w:rsidRDefault="00BB0281" w:rsidP="00BB0281">
      <w:pPr>
        <w:tabs>
          <w:tab w:val="left" w:pos="1755"/>
        </w:tabs>
      </w:pPr>
    </w:p>
    <w:sectPr w:rsidR="00BB0281" w:rsidRPr="00BB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5205"/>
    <w:multiLevelType w:val="hybridMultilevel"/>
    <w:tmpl w:val="C7688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879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DB"/>
    <w:rsid w:val="002F2CB6"/>
    <w:rsid w:val="005A6F58"/>
    <w:rsid w:val="00681177"/>
    <w:rsid w:val="006A16A1"/>
    <w:rsid w:val="009E001B"/>
    <w:rsid w:val="00BB0281"/>
    <w:rsid w:val="00E920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33ED"/>
  <w15:chartTrackingRefBased/>
  <w15:docId w15:val="{6E5FA6DE-AEE0-44F8-9774-5CD13B31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D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Matos</dc:creator>
  <cp:keywords/>
  <dc:description/>
  <cp:lastModifiedBy>LUIS FLORES</cp:lastModifiedBy>
  <cp:revision>2</cp:revision>
  <dcterms:created xsi:type="dcterms:W3CDTF">2022-06-28T16:05:00Z</dcterms:created>
  <dcterms:modified xsi:type="dcterms:W3CDTF">2022-06-28T16:05:00Z</dcterms:modified>
</cp:coreProperties>
</file>