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1" w:type="dxa"/>
        <w:tblInd w:w="-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2706"/>
        <w:gridCol w:w="2148"/>
        <w:gridCol w:w="1621"/>
      </w:tblGrid>
      <w:tr w:rsidR="00E920DB" w:rsidRPr="006522D5" w14:paraId="6864EA80" w14:textId="77777777" w:rsidTr="004F5E40">
        <w:trPr>
          <w:trHeight w:val="448"/>
        </w:trPr>
        <w:tc>
          <w:tcPr>
            <w:tcW w:w="9711" w:type="dxa"/>
            <w:gridSpan w:val="4"/>
            <w:shd w:val="clear" w:color="auto" w:fill="auto"/>
          </w:tcPr>
          <w:p w14:paraId="07DA9A7A" w14:textId="77777777" w:rsidR="00E920DB" w:rsidRPr="006522D5" w:rsidRDefault="00E920DB" w:rsidP="004F5E40">
            <w:pPr>
              <w:spacing w:before="120" w:after="120"/>
              <w:ind w:left="-567"/>
              <w:jc w:val="center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u w:val="single"/>
                <w:lang w:val="es-PE"/>
              </w:rPr>
            </w:pP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</w:rPr>
              <w:t>2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vertAlign w:val="superscript"/>
              </w:rPr>
              <w:t xml:space="preserve">DA 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</w:rPr>
              <w:t xml:space="preserve">PRACTICA DE LINEAMIENTOS DE </w:t>
            </w:r>
            <w:r w:rsidRPr="006522D5"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lang w:eastAsia="en-US"/>
              </w:rPr>
              <w:t>CIERRE DE MINAS</w:t>
            </w:r>
            <w:r>
              <w:rPr>
                <w:rFonts w:ascii="Calibri" w:hAnsi="Calibri" w:cs="Calibri"/>
                <w:b/>
                <w:bCs/>
                <w:color w:val="000066"/>
                <w:sz w:val="28"/>
                <w:szCs w:val="28"/>
                <w:lang w:eastAsia="en-US"/>
              </w:rPr>
              <w:t xml:space="preserve"> (TEORIA)</w:t>
            </w:r>
          </w:p>
        </w:tc>
      </w:tr>
      <w:tr w:rsidR="00E920DB" w:rsidRPr="006522D5" w14:paraId="689A92E9" w14:textId="77777777" w:rsidTr="004F5E40">
        <w:trPr>
          <w:trHeight w:val="429"/>
        </w:trPr>
        <w:tc>
          <w:tcPr>
            <w:tcW w:w="3236" w:type="dxa"/>
            <w:shd w:val="clear" w:color="auto" w:fill="auto"/>
          </w:tcPr>
          <w:p w14:paraId="02851978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NOMBRES Y APELLIDOS</w:t>
            </w:r>
          </w:p>
        </w:tc>
        <w:tc>
          <w:tcPr>
            <w:tcW w:w="6475" w:type="dxa"/>
            <w:gridSpan w:val="3"/>
            <w:shd w:val="clear" w:color="auto" w:fill="auto"/>
          </w:tcPr>
          <w:p w14:paraId="472EC724" w14:textId="3C11DC82" w:rsidR="00E920DB" w:rsidRPr="006522D5" w:rsidRDefault="00BB0281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Flores Ponte Luis Fernando</w:t>
            </w:r>
          </w:p>
        </w:tc>
      </w:tr>
      <w:tr w:rsidR="00E920DB" w:rsidRPr="006522D5" w14:paraId="7D41DA9D" w14:textId="77777777" w:rsidTr="004F5E40">
        <w:trPr>
          <w:trHeight w:val="429"/>
        </w:trPr>
        <w:tc>
          <w:tcPr>
            <w:tcW w:w="3236" w:type="dxa"/>
            <w:shd w:val="clear" w:color="auto" w:fill="auto"/>
          </w:tcPr>
          <w:p w14:paraId="0D02D588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CÓDIGO DEL ALUMNO</w:t>
            </w:r>
          </w:p>
        </w:tc>
        <w:tc>
          <w:tcPr>
            <w:tcW w:w="2706" w:type="dxa"/>
            <w:shd w:val="clear" w:color="auto" w:fill="auto"/>
          </w:tcPr>
          <w:p w14:paraId="40C67090" w14:textId="55455506" w:rsidR="00E920DB" w:rsidRPr="006522D5" w:rsidRDefault="00BB0281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20180003H</w:t>
            </w:r>
          </w:p>
        </w:tc>
        <w:tc>
          <w:tcPr>
            <w:tcW w:w="2148" w:type="dxa"/>
            <w:shd w:val="clear" w:color="auto" w:fill="auto"/>
          </w:tcPr>
          <w:p w14:paraId="17D919F5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CODIGO DEL CURSO</w:t>
            </w:r>
          </w:p>
        </w:tc>
        <w:tc>
          <w:tcPr>
            <w:tcW w:w="1621" w:type="dxa"/>
            <w:shd w:val="clear" w:color="auto" w:fill="auto"/>
          </w:tcPr>
          <w:p w14:paraId="7EC59714" w14:textId="77777777" w:rsidR="00E920DB" w:rsidRPr="006522D5" w:rsidRDefault="00E920DB" w:rsidP="004F5E40">
            <w:pPr>
              <w:spacing w:before="120" w:after="120"/>
              <w:jc w:val="both"/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</w:pP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 xml:space="preserve">SM </w:t>
            </w:r>
            <w:r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943</w:t>
            </w:r>
            <w:r w:rsidRPr="006522D5">
              <w:rPr>
                <w:rFonts w:ascii="Calibri Light" w:hAnsi="Calibri Light" w:cs="Calibri Light"/>
                <w:b/>
                <w:bCs/>
                <w:color w:val="000066"/>
                <w:sz w:val="22"/>
                <w:szCs w:val="22"/>
                <w:lang w:val="es-PE"/>
              </w:rPr>
              <w:t>R</w:t>
            </w:r>
          </w:p>
        </w:tc>
      </w:tr>
    </w:tbl>
    <w:p w14:paraId="19A71B1B" w14:textId="2B2FEE72" w:rsidR="006A16A1" w:rsidRDefault="006A16A1"/>
    <w:p w14:paraId="48F5C8CE" w14:textId="55952689" w:rsidR="00BB0281" w:rsidRDefault="00BB0281" w:rsidP="00BB0281">
      <w:pPr>
        <w:tabs>
          <w:tab w:val="left" w:pos="1755"/>
        </w:tabs>
      </w:pPr>
    </w:p>
    <w:p w14:paraId="4EFE1895" w14:textId="55F43467" w:rsidR="001C766D" w:rsidRPr="001C766D" w:rsidRDefault="001C766D" w:rsidP="001C766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F07C32" wp14:editId="5C5FF9CD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948680" cy="1710055"/>
            <wp:effectExtent l="0" t="0" r="0" b="4445"/>
            <wp:wrapSquare wrapText="bothSides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81" cy="171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45644" w14:textId="520F5B3A" w:rsidR="001C766D" w:rsidRPr="001C766D" w:rsidRDefault="001C766D" w:rsidP="001C766D"/>
    <w:p w14:paraId="33A9993C" w14:textId="2CB8472C" w:rsidR="001C766D" w:rsidRDefault="001C766D" w:rsidP="001C766D">
      <w:r>
        <w:t>Solución 4)</w:t>
      </w:r>
    </w:p>
    <w:p w14:paraId="348F34A8" w14:textId="4409BA03" w:rsidR="001C766D" w:rsidRDefault="001C766D" w:rsidP="001C766D"/>
    <w:p w14:paraId="43B1AB26" w14:textId="36226E65" w:rsidR="00584907" w:rsidRDefault="00584907" w:rsidP="001C766D">
      <w:r>
        <w:t>El clima es sumamente importante por que si se tiene temporada de lluvias esta puede hacer que se forme el DAM en las relaveras y desmonteras. La precipitación en exceso también generará que aumente el nivel freático, si aumenta el nivel freático se genera una mayor riesgo de falla circular en la estructura.</w:t>
      </w:r>
    </w:p>
    <w:p w14:paraId="18E06681" w14:textId="73C91969" w:rsidR="00584907" w:rsidRDefault="00584907" w:rsidP="001C766D"/>
    <w:p w14:paraId="04E0B3FB" w14:textId="77777777" w:rsidR="00584907" w:rsidRDefault="00584907" w:rsidP="001C766D"/>
    <w:p w14:paraId="66A4FF75" w14:textId="1BABAC6D" w:rsidR="001C766D" w:rsidRDefault="001C766D" w:rsidP="001C766D">
      <w:r>
        <w:t>Solución 5)</w:t>
      </w:r>
    </w:p>
    <w:p w14:paraId="6842530D" w14:textId="77777777" w:rsidR="001C766D" w:rsidRDefault="001C766D" w:rsidP="001C766D">
      <w:r>
        <w:t>Los factores más relevantes de la e</w:t>
      </w:r>
      <w:r>
        <w:t xml:space="preserve">stabilidad </w:t>
      </w:r>
      <w:r>
        <w:t>física está en función de los taludes, estos involucran:</w:t>
      </w:r>
    </w:p>
    <w:p w14:paraId="5AD562A1" w14:textId="77A3F6DC" w:rsidR="001C766D" w:rsidRDefault="001C766D" w:rsidP="00DF1CB6">
      <w:pPr>
        <w:pStyle w:val="Prrafodelista"/>
        <w:numPr>
          <w:ilvl w:val="0"/>
          <w:numId w:val="2"/>
        </w:numPr>
      </w:pPr>
      <w:r>
        <w:t>Factor de seguridad: estática, sísmico (pseudo estático)</w:t>
      </w:r>
    </w:p>
    <w:p w14:paraId="4735B299" w14:textId="5F0EDC03" w:rsidR="001C766D" w:rsidRDefault="00B042AA" w:rsidP="00DF1CB6">
      <w:pPr>
        <w:pStyle w:val="Prrafodelista"/>
        <w:numPr>
          <w:ilvl w:val="0"/>
          <w:numId w:val="2"/>
        </w:numPr>
      </w:pPr>
      <w:r>
        <w:t>Análisis simulado para d</w:t>
      </w:r>
      <w:r w:rsidR="001C766D">
        <w:t xml:space="preserve">esplazamientos </w:t>
      </w:r>
      <w:r>
        <w:t>en la relavera a causa de sismicidad</w:t>
      </w:r>
    </w:p>
    <w:p w14:paraId="6A4AE4C9" w14:textId="7487804E" w:rsidR="001C766D" w:rsidRDefault="001C766D" w:rsidP="00DF1CB6">
      <w:pPr>
        <w:pStyle w:val="Prrafodelista"/>
        <w:numPr>
          <w:ilvl w:val="0"/>
          <w:numId w:val="2"/>
        </w:numPr>
      </w:pPr>
      <w:r>
        <w:t>Geometría del talud</w:t>
      </w:r>
      <w:r w:rsidR="00B042AA">
        <w:t xml:space="preserve">: </w:t>
      </w:r>
      <w:r w:rsidR="00B042AA">
        <w:t>Menor inclinación (perfilado)</w:t>
      </w:r>
      <w:r w:rsidR="00B042AA">
        <w:t>, m</w:t>
      </w:r>
      <w:r w:rsidR="00B042AA">
        <w:t>enor altura (recortar)</w:t>
      </w:r>
      <w:r w:rsidR="00B042AA">
        <w:t>, b</w:t>
      </w:r>
      <w:r w:rsidR="00B042AA">
        <w:t>ermas intermedias (reduce inclinación o altura)</w:t>
      </w:r>
    </w:p>
    <w:p w14:paraId="5637D5C6" w14:textId="7816CC47" w:rsidR="001C766D" w:rsidRDefault="00B042AA" w:rsidP="00DF1CB6">
      <w:pPr>
        <w:pStyle w:val="Prrafodelista"/>
        <w:numPr>
          <w:ilvl w:val="0"/>
          <w:numId w:val="2"/>
        </w:numPr>
      </w:pPr>
      <w:r>
        <w:t>Propiedades de los materiales de construcción</w:t>
      </w:r>
      <w:r w:rsidR="001C766D">
        <w:t xml:space="preserve"> </w:t>
      </w:r>
      <w:r>
        <w:t>(</w:t>
      </w:r>
      <w:r w:rsidR="001C766D">
        <w:t>resistencia al corte, peso unitario</w:t>
      </w:r>
      <w:r>
        <w:t>, etc)</w:t>
      </w:r>
    </w:p>
    <w:p w14:paraId="3710F634" w14:textId="16CB3E48" w:rsidR="001C766D" w:rsidRDefault="001C766D" w:rsidP="00DF1CB6">
      <w:pPr>
        <w:pStyle w:val="Prrafodelista"/>
        <w:numPr>
          <w:ilvl w:val="0"/>
          <w:numId w:val="2"/>
        </w:numPr>
      </w:pPr>
      <w:r>
        <w:t>N</w:t>
      </w:r>
      <w:r>
        <w:t>ivel</w:t>
      </w:r>
      <w:r>
        <w:t xml:space="preserve"> freátic</w:t>
      </w:r>
      <w:r>
        <w:t>o</w:t>
      </w:r>
    </w:p>
    <w:p w14:paraId="20C20A99" w14:textId="1B176147" w:rsidR="001C766D" w:rsidRDefault="001C766D" w:rsidP="00DF1CB6">
      <w:pPr>
        <w:pStyle w:val="Prrafodelista"/>
        <w:numPr>
          <w:ilvl w:val="0"/>
          <w:numId w:val="2"/>
        </w:numPr>
      </w:pPr>
      <w:r>
        <w:t>Potencial de licuefacción</w:t>
      </w:r>
    </w:p>
    <w:p w14:paraId="728AC09C" w14:textId="500C17F5" w:rsidR="001C766D" w:rsidRDefault="001C766D" w:rsidP="001C766D"/>
    <w:p w14:paraId="7AFFF26F" w14:textId="3700D3F5" w:rsidR="001C766D" w:rsidRDefault="001C766D" w:rsidP="001C766D">
      <w:r>
        <w:t>Solución 6)</w:t>
      </w:r>
    </w:p>
    <w:p w14:paraId="1A145DCF" w14:textId="2BE87588" w:rsidR="001C766D" w:rsidRPr="001C766D" w:rsidRDefault="00B042AA" w:rsidP="001C766D">
      <w:r>
        <w:t xml:space="preserve">El proceso más crítico es la formación del drenaje ácido de mina (DAM). Esta </w:t>
      </w:r>
      <w:r w:rsidRPr="00584907">
        <w:t>solución ácida</w:t>
      </w:r>
      <w:r w:rsidR="00584907" w:rsidRPr="00584907">
        <w:t xml:space="preserve"> </w:t>
      </w:r>
      <w:r w:rsidRPr="00584907">
        <w:t>se forma por la oxidación natural de minerales sulfurosos cuando son expuestos al oxígeno del aire y al agua, este drenaje emerge de bocaminas, relaveras y desmonteras.</w:t>
      </w:r>
      <w:r w:rsidR="00584907" w:rsidRPr="00584907">
        <w:t xml:space="preserve"> El DAM siempre debe estar controlado ya que puede contaminar el agua de nivel freático.</w:t>
      </w:r>
    </w:p>
    <w:p w14:paraId="5CF31C09" w14:textId="75876F24" w:rsidR="001C766D" w:rsidRPr="001C766D" w:rsidRDefault="001C766D" w:rsidP="001C766D"/>
    <w:p w14:paraId="67BFAB2A" w14:textId="3F166A76" w:rsidR="001C766D" w:rsidRPr="001C766D" w:rsidRDefault="001C766D" w:rsidP="001C766D"/>
    <w:p w14:paraId="59FF028A" w14:textId="27114186" w:rsidR="001C766D" w:rsidRPr="001C766D" w:rsidRDefault="001C766D" w:rsidP="001C766D"/>
    <w:p w14:paraId="5C0B7FE7" w14:textId="4036B309" w:rsidR="001C766D" w:rsidRPr="001C766D" w:rsidRDefault="001C766D" w:rsidP="001C766D"/>
    <w:p w14:paraId="0D7F2C40" w14:textId="62D14DC4" w:rsidR="001C766D" w:rsidRPr="001C766D" w:rsidRDefault="001C766D" w:rsidP="001C766D"/>
    <w:p w14:paraId="12A15317" w14:textId="51FD48A2" w:rsidR="001C766D" w:rsidRPr="001C766D" w:rsidRDefault="001C766D" w:rsidP="001C766D"/>
    <w:p w14:paraId="7CD8604A" w14:textId="77777777" w:rsidR="001C766D" w:rsidRPr="001C766D" w:rsidRDefault="001C766D" w:rsidP="001C766D"/>
    <w:sectPr w:rsidR="001C766D" w:rsidRPr="001C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205"/>
    <w:multiLevelType w:val="hybridMultilevel"/>
    <w:tmpl w:val="C7688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6BBC"/>
    <w:multiLevelType w:val="hybridMultilevel"/>
    <w:tmpl w:val="BC9AF6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2605">
    <w:abstractNumId w:val="0"/>
  </w:num>
  <w:num w:numId="2" w16cid:durableId="198596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DB"/>
    <w:rsid w:val="001C766D"/>
    <w:rsid w:val="002F1741"/>
    <w:rsid w:val="002F2CB6"/>
    <w:rsid w:val="00584907"/>
    <w:rsid w:val="005A6F58"/>
    <w:rsid w:val="00681177"/>
    <w:rsid w:val="006A16A1"/>
    <w:rsid w:val="009E001B"/>
    <w:rsid w:val="00B042AA"/>
    <w:rsid w:val="00BB0281"/>
    <w:rsid w:val="00DF1CB6"/>
    <w:rsid w:val="00E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933ED"/>
  <w15:chartTrackingRefBased/>
  <w15:docId w15:val="{6E5FA6DE-AEE0-44F8-9774-5CD13B31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Matos</dc:creator>
  <cp:keywords/>
  <dc:description/>
  <cp:lastModifiedBy>LUIS FLORES</cp:lastModifiedBy>
  <cp:revision>4</cp:revision>
  <dcterms:created xsi:type="dcterms:W3CDTF">2022-06-28T16:19:00Z</dcterms:created>
  <dcterms:modified xsi:type="dcterms:W3CDTF">2022-06-28T16:20:00Z</dcterms:modified>
</cp:coreProperties>
</file>