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Практическая работа № 3</w:t>
      </w:r>
    </w:p>
    <w:p>
      <w:pPr>
        <w:jc w:val="center"/>
      </w:pPr>
      <w:r>
        <w:rPr>
          <w:rFonts w:ascii="Arial" w:hAnsi="Arial"/>
          <w:b/>
          <w:sz w:val="26"/>
        </w:rPr>
        <w:t>Разработка модели угроз для государственной информационной системы</w:t>
      </w:r>
    </w:p>
    <w:p>
      <w:pPr>
        <w:jc w:val="center"/>
      </w:pPr>
      <w:r>
        <w:rPr>
          <w:rFonts w:ascii="Arial" w:hAnsi="Arial"/>
          <w:b/>
          <w:sz w:val="24"/>
        </w:rPr>
        <w:t>Вариант 2. Федеральная налоговая служба (ФНС России)</w:t>
      </w:r>
    </w:p>
    <w:p/>
    <w:p>
      <w:pPr>
        <w:jc w:val="right"/>
      </w:pPr>
      <w:r>
        <w:rPr>
          <w:b/>
        </w:rPr>
        <w:t xml:space="preserve">Выполнил(а): </w:t>
      </w:r>
      <w:r>
        <w:t>____________________</w:t>
      </w:r>
    </w:p>
    <w:p>
      <w:pPr>
        <w:jc w:val="right"/>
      </w:pPr>
      <w:r>
        <w:rPr>
          <w:b/>
        </w:rPr>
        <w:t xml:space="preserve">Группа: </w:t>
      </w:r>
      <w:r>
        <w:t>____________</w:t>
      </w:r>
    </w:p>
    <w:p>
      <w:pPr>
        <w:jc w:val="right"/>
      </w:pPr>
      <w:r>
        <w:rPr>
          <w:b/>
        </w:rPr>
        <w:t xml:space="preserve">Проверил(а): </w:t>
      </w:r>
      <w:r>
        <w:t>____________________</w:t>
      </w:r>
    </w:p>
    <w:p>
      <w:pPr>
        <w:pStyle w:val="Heading1"/>
      </w:pPr>
      <w:r>
        <w:t>Введение</w:t>
      </w:r>
    </w:p>
    <w:p>
      <w:r>
        <w:t>Информационные системы государственных органов содержат сведения, необходимые для выполнения важных публичных функций. Нарушение их работы может повлиять на граждан, организации и деятельность самого ведомства. Поэтому до выбора средств защиты важно определить, какие ресурсы представляют ценность, откуда могут исходить угрозы и к каким последствиям они способны привести.</w:t>
      </w:r>
    </w:p>
    <w:p>
      <w:r>
        <w:t>В данной работе рассматривается учебная модель угроз для информационных ресурсов Федеральной налоговой службы России. Описание носит обобщённый характер и не раскрывает устройство конкретных ведомственных систем.</w:t>
      </w:r>
    </w:p>
    <w:p>
      <w:pPr>
        <w:pStyle w:val="Heading1"/>
      </w:pPr>
      <w:r>
        <w:t>1. Назначение и границы рассматриваемой системы</w:t>
      </w:r>
    </w:p>
    <w:p>
      <w:r>
        <w:t>ФНС России выполняет функции по налоговому администрированию и взаимодействует с гражданами, организациями и другими государственными структурами. Для этого применяются цифровые сервисы, средства внутренней обработки документов, базы данных и каналы обмена информацией. Система в рамках модели включает пользовательские рабочие места, серверные ресурсы, прикладные программы, средства сетевой защиты, хранилища данных и механизмы резервного копирования.</w:t>
      </w:r>
    </w:p>
    <w:p>
      <w:r>
        <w:t>Граница модели охватывает данные и технические средства, которые участвуют в приёме, обработке, хранении и передаче налоговой информации. Отдельно учитываются действия работников и внешних пользователей, поскольку ошибки и злоупотребления могут быть не менее значимыми, чем технические атаки.</w:t>
      </w:r>
    </w:p>
    <w:p>
      <w:pPr>
        <w:pStyle w:val="Heading1"/>
      </w:pPr>
      <w:r>
        <w:t>2. Защищаемые активы и требования к ним</w:t>
      </w:r>
    </w:p>
    <w:p>
      <w:r>
        <w:t>Для удобства активы сгруппированы по назначению.</w:t>
      </w:r>
    </w:p>
    <w:tbl>
      <w:tblPr>
        <w:tblStyle w:val="TableGrid"/>
        <w:tblW w:type="auto" w:w="0"/>
        <w:jc w:val="center"/>
        <w:tblLook w:firstColumn="1" w:firstRow="1" w:lastColumn="0" w:lastRow="0" w:noHBand="0" w:noVBand="1" w:val="04A0"/>
      </w:tblPr>
      <w:tblGrid>
        <w:gridCol w:w="3268"/>
        <w:gridCol w:w="3268"/>
        <w:gridCol w:w="3268"/>
      </w:tblGrid>
      <w:tr>
        <w:tc>
          <w:tcPr>
            <w:tcW w:type="dxa" w:w="3268"/>
            <w:vAlign w:val="center"/>
          </w:tcPr>
          <w:p>
            <w:pPr>
              <w:spacing w:after="20"/>
            </w:pPr>
            <w:r>
              <w:rPr>
                <w:rFonts w:ascii="Arial" w:hAnsi="Arial"/>
                <w:sz w:val="19"/>
              </w:rPr>
              <w:t>Группа активов</w:t>
            </w:r>
          </w:p>
        </w:tc>
        <w:tc>
          <w:tcPr>
            <w:tcW w:type="dxa" w:w="3268"/>
            <w:vAlign w:val="center"/>
          </w:tcPr>
          <w:p>
            <w:pPr>
              <w:spacing w:after="20"/>
            </w:pPr>
            <w:r>
              <w:rPr>
                <w:rFonts w:ascii="Arial" w:hAnsi="Arial"/>
                <w:sz w:val="19"/>
              </w:rPr>
              <w:t>Примеры</w:t>
            </w:r>
          </w:p>
        </w:tc>
        <w:tc>
          <w:tcPr>
            <w:tcW w:type="dxa" w:w="3268"/>
            <w:vAlign w:val="center"/>
          </w:tcPr>
          <w:p>
            <w:pPr>
              <w:spacing w:after="20"/>
            </w:pPr>
            <w:r>
              <w:rPr>
                <w:rFonts w:ascii="Arial" w:hAnsi="Arial"/>
                <w:sz w:val="19"/>
              </w:rPr>
              <w:t>Основное требование</w:t>
            </w:r>
          </w:p>
        </w:tc>
      </w:tr>
      <w:tr>
        <w:tc>
          <w:tcPr>
            <w:tcW w:type="dxa" w:w="3268"/>
            <w:vAlign w:val="center"/>
          </w:tcPr>
          <w:p>
            <w:pPr>
              <w:spacing w:after="20"/>
            </w:pPr>
            <w:r>
              <w:rPr>
                <w:rFonts w:ascii="Arial" w:hAnsi="Arial"/>
                <w:sz w:val="19"/>
              </w:rPr>
              <w:t>Информационные</w:t>
            </w:r>
          </w:p>
        </w:tc>
        <w:tc>
          <w:tcPr>
            <w:tcW w:type="dxa" w:w="3268"/>
            <w:vAlign w:val="center"/>
          </w:tcPr>
          <w:p>
            <w:pPr>
              <w:spacing w:after="20"/>
            </w:pPr>
            <w:r>
              <w:rPr>
                <w:rFonts w:ascii="Arial" w:hAnsi="Arial"/>
                <w:sz w:val="19"/>
              </w:rPr>
              <w:t>Сведения о налогоплательщиках, декларации, начисления, платежи</w:t>
            </w:r>
          </w:p>
        </w:tc>
        <w:tc>
          <w:tcPr>
            <w:tcW w:type="dxa" w:w="3268"/>
            <w:vAlign w:val="center"/>
          </w:tcPr>
          <w:p>
            <w:pPr>
              <w:spacing w:after="20"/>
            </w:pPr>
            <w:r>
              <w:rPr>
                <w:rFonts w:ascii="Arial" w:hAnsi="Arial"/>
                <w:sz w:val="19"/>
              </w:rPr>
              <w:t>Конфиденциальность и целостность</w:t>
            </w:r>
          </w:p>
        </w:tc>
      </w:tr>
      <w:tr>
        <w:tc>
          <w:tcPr>
            <w:tcW w:type="dxa" w:w="3268"/>
            <w:vAlign w:val="center"/>
          </w:tcPr>
          <w:p>
            <w:pPr>
              <w:spacing w:after="20"/>
            </w:pPr>
            <w:r>
              <w:rPr>
                <w:rFonts w:ascii="Arial" w:hAnsi="Arial"/>
                <w:sz w:val="19"/>
              </w:rPr>
              <w:t>Технические</w:t>
            </w:r>
          </w:p>
        </w:tc>
        <w:tc>
          <w:tcPr>
            <w:tcW w:type="dxa" w:w="3268"/>
            <w:vAlign w:val="center"/>
          </w:tcPr>
          <w:p>
            <w:pPr>
              <w:spacing w:after="20"/>
            </w:pPr>
            <w:r>
              <w:rPr>
                <w:rFonts w:ascii="Arial" w:hAnsi="Arial"/>
                <w:sz w:val="19"/>
              </w:rPr>
              <w:t>Серверы, рабочие станции, сетевые устройства, системы хранения</w:t>
            </w:r>
          </w:p>
        </w:tc>
        <w:tc>
          <w:tcPr>
            <w:tcW w:type="dxa" w:w="3268"/>
            <w:vAlign w:val="center"/>
          </w:tcPr>
          <w:p>
            <w:pPr>
              <w:spacing w:after="20"/>
            </w:pPr>
            <w:r>
              <w:rPr>
                <w:rFonts w:ascii="Arial" w:hAnsi="Arial"/>
                <w:sz w:val="19"/>
              </w:rPr>
              <w:t>Доступность и устойчивость</w:t>
            </w:r>
          </w:p>
        </w:tc>
      </w:tr>
      <w:tr>
        <w:tc>
          <w:tcPr>
            <w:tcW w:type="dxa" w:w="3268"/>
            <w:vAlign w:val="center"/>
          </w:tcPr>
          <w:p>
            <w:pPr>
              <w:spacing w:after="20"/>
            </w:pPr>
            <w:r>
              <w:rPr>
                <w:rFonts w:ascii="Arial" w:hAnsi="Arial"/>
                <w:sz w:val="19"/>
              </w:rPr>
              <w:t>Программные</w:t>
            </w:r>
          </w:p>
        </w:tc>
        <w:tc>
          <w:tcPr>
            <w:tcW w:type="dxa" w:w="3268"/>
            <w:vAlign w:val="center"/>
          </w:tcPr>
          <w:p>
            <w:pPr>
              <w:spacing w:after="20"/>
            </w:pPr>
            <w:r>
              <w:rPr>
                <w:rFonts w:ascii="Arial" w:hAnsi="Arial"/>
                <w:sz w:val="19"/>
              </w:rPr>
              <w:t>Прикладные приложения, операционные системы, настройки</w:t>
            </w:r>
          </w:p>
        </w:tc>
        <w:tc>
          <w:tcPr>
            <w:tcW w:type="dxa" w:w="3268"/>
            <w:vAlign w:val="center"/>
          </w:tcPr>
          <w:p>
            <w:pPr>
              <w:spacing w:after="20"/>
            </w:pPr>
            <w:r>
              <w:rPr>
                <w:rFonts w:ascii="Arial" w:hAnsi="Arial"/>
                <w:sz w:val="19"/>
              </w:rPr>
              <w:t>Целостность и своевременное обновление</w:t>
            </w:r>
          </w:p>
        </w:tc>
      </w:tr>
      <w:tr>
        <w:tc>
          <w:tcPr>
            <w:tcW w:type="dxa" w:w="3268"/>
            <w:vAlign w:val="center"/>
          </w:tcPr>
          <w:p>
            <w:pPr>
              <w:spacing w:after="20"/>
            </w:pPr>
            <w:r>
              <w:rPr>
                <w:rFonts w:ascii="Arial" w:hAnsi="Arial"/>
                <w:sz w:val="19"/>
              </w:rPr>
              <w:t>Идентификационные</w:t>
            </w:r>
          </w:p>
        </w:tc>
        <w:tc>
          <w:tcPr>
            <w:tcW w:type="dxa" w:w="3268"/>
            <w:vAlign w:val="center"/>
          </w:tcPr>
          <w:p>
            <w:pPr>
              <w:spacing w:after="20"/>
            </w:pPr>
            <w:r>
              <w:rPr>
                <w:rFonts w:ascii="Arial" w:hAnsi="Arial"/>
                <w:sz w:val="19"/>
              </w:rPr>
              <w:t>Учётные записи, пароли, сертификаты, роли пользователей</w:t>
            </w:r>
          </w:p>
        </w:tc>
        <w:tc>
          <w:tcPr>
            <w:tcW w:type="dxa" w:w="3268"/>
            <w:vAlign w:val="center"/>
          </w:tcPr>
          <w:p>
            <w:pPr>
              <w:spacing w:after="20"/>
            </w:pPr>
            <w:r>
              <w:rPr>
                <w:rFonts w:ascii="Arial" w:hAnsi="Arial"/>
                <w:sz w:val="19"/>
              </w:rPr>
              <w:t>Защита от кражи и неправомерного использования</w:t>
            </w:r>
          </w:p>
        </w:tc>
      </w:tr>
      <w:tr>
        <w:tc>
          <w:tcPr>
            <w:tcW w:type="dxa" w:w="3268"/>
            <w:vAlign w:val="center"/>
          </w:tcPr>
          <w:p>
            <w:pPr>
              <w:spacing w:after="20"/>
            </w:pPr>
            <w:r>
              <w:rPr>
                <w:rFonts w:ascii="Arial" w:hAnsi="Arial"/>
                <w:sz w:val="19"/>
              </w:rPr>
              <w:t>Вспомогательные</w:t>
            </w:r>
          </w:p>
        </w:tc>
        <w:tc>
          <w:tcPr>
            <w:tcW w:type="dxa" w:w="3268"/>
            <w:vAlign w:val="center"/>
          </w:tcPr>
          <w:p>
            <w:pPr>
              <w:spacing w:after="20"/>
            </w:pPr>
            <w:r>
              <w:rPr>
                <w:rFonts w:ascii="Arial" w:hAnsi="Arial"/>
                <w:sz w:val="19"/>
              </w:rPr>
              <w:t>Журналы событий, архивы, резервные копии, инструкции</w:t>
            </w:r>
          </w:p>
        </w:tc>
        <w:tc>
          <w:tcPr>
            <w:tcW w:type="dxa" w:w="3268"/>
            <w:vAlign w:val="center"/>
          </w:tcPr>
          <w:p>
            <w:pPr>
              <w:spacing w:after="20"/>
            </w:pPr>
            <w:r>
              <w:rPr>
                <w:rFonts w:ascii="Arial" w:hAnsi="Arial"/>
                <w:sz w:val="19"/>
              </w:rPr>
              <w:t>Сохранность и возможность проверки</w:t>
            </w:r>
          </w:p>
        </w:tc>
      </w:tr>
    </w:tbl>
    <w:p>
      <w:r>
        <w:t>Конфиденциальность означает, что доступ к информации получают только уполномоченные лица. Целостность предполагает защиту от несанкционированного изменения или уничтожения. Доступность означает возможность пользоваться системой в нужный момент. Для налоговых ресурсов все три свойства имеют существенное значение.</w:t>
      </w:r>
    </w:p>
    <w:p>
      <w:pPr>
        <w:pStyle w:val="Heading1"/>
      </w:pPr>
      <w:r>
        <w:t>3. Модель потенциального нарушителя</w:t>
      </w:r>
    </w:p>
    <w:p>
      <w:r>
        <w:t>При анализе рассматриваются следующие категории нарушителей:</w:t>
      </w:r>
    </w:p>
    <w:p>
      <w:pPr>
        <w:pStyle w:val="ListNumber"/>
      </w:pPr>
      <w:r>
        <w:rPr>
          <w:b/>
        </w:rPr>
        <w:t xml:space="preserve">Внешний атакующий. </w:t>
      </w:r>
      <w:r>
        <w:t>Не имеет штатного доступа, но может использовать интернет, социальную инженерию, уязвимости программ и похищенные пароли.</w:t>
      </w:r>
    </w:p>
    <w:p>
      <w:pPr>
        <w:pStyle w:val="ListNumber"/>
      </w:pPr>
      <w:r>
        <w:rPr>
          <w:b/>
        </w:rPr>
        <w:t xml:space="preserve">Внутренний пользователь. </w:t>
      </w:r>
      <w:r>
        <w:t>Имеет разрешённый доступ к части системы; риск возникает при злоупотреблении полномочиями, неосторожности или нарушении правил.</w:t>
      </w:r>
    </w:p>
    <w:p>
      <w:pPr>
        <w:pStyle w:val="ListNumber"/>
      </w:pPr>
      <w:r>
        <w:rPr>
          <w:b/>
        </w:rPr>
        <w:t xml:space="preserve">Технический специалист или подрядчик. </w:t>
      </w:r>
      <w:r>
        <w:t>Может иметь расширенные права для обслуживания оборудования. Ошибка в настройках или неконтролируемый доступ повышают риск.</w:t>
      </w:r>
    </w:p>
    <w:p>
      <w:pPr>
        <w:pStyle w:val="ListNumber"/>
      </w:pPr>
      <w:r>
        <w:rPr>
          <w:b/>
        </w:rPr>
        <w:t xml:space="preserve">Бывший работник. </w:t>
      </w:r>
      <w:r>
        <w:t>Опасность сохраняется, если учётная запись, токен или удалённый доступ не отключены после прекращения работы.</w:t>
      </w:r>
    </w:p>
    <w:p>
      <w:pPr>
        <w:pStyle w:val="ListNumber"/>
      </w:pPr>
      <w:r>
        <w:rPr>
          <w:b/>
        </w:rPr>
        <w:t xml:space="preserve">Автоматизированный источник угрозы. </w:t>
      </w:r>
      <w:r>
        <w:t>Вредоносное программное обеспечение может действовать после запуска пользователем или проникновения через уязвимый компонент.</w:t>
      </w:r>
    </w:p>
    <w:p>
      <w:r>
        <w:t>Для каждого нарушителя учитываются цель, исходный уровень доступа, технические знания и доступные ресурсы. В качестве целей могут выступать получение закрытых сведений, финансовая выгода, нарушение работы сервиса или сокрытие неправомерных действий.</w:t>
      </w:r>
    </w:p>
    <w:p>
      <w:pPr>
        <w:pStyle w:val="Heading1"/>
      </w:pPr>
      <w:r>
        <w:t>4. Сценарии угроз</w:t>
      </w:r>
    </w:p>
    <w:p>
      <w:pPr>
        <w:pStyle w:val="Heading2"/>
      </w:pPr>
      <w:r>
        <w:t>4.1. Компрометация учётной записи</w:t>
      </w:r>
    </w:p>
    <w:p>
      <w:r>
        <w:t>Пользователь получает фишинговое письмо и вводит пароль на поддельной странице. Злоумышленник использует полученные данные для входа в систему. При недостаточно строгом разграничении прав он может просматривать документы или выполнять действия от имени сотрудника. Возможный ущерб включает раскрытие сведений и затруднение расследования, поскольку действия выглядят как действия законного пользователя.</w:t>
      </w:r>
    </w:p>
    <w:p>
      <w:pPr>
        <w:pStyle w:val="Heading2"/>
      </w:pPr>
      <w:r>
        <w:t>4.2. Заражение вредоносной программой</w:t>
      </w:r>
    </w:p>
    <w:p>
      <w:r>
        <w:t>Сотрудник открывает заражённое вложение или запускает файл из ненадёжного источника. Вредоносная программа может похищать данные, нарушать работу компьютера, распространяться на доступные ресурсы или шифровать файлы. Последствия зависят от прав пользователя, сегментации сети и наличия актуальных резервных копий.</w:t>
      </w:r>
    </w:p>
    <w:p>
      <w:pPr>
        <w:pStyle w:val="Heading2"/>
      </w:pPr>
      <w:r>
        <w:t>4.3. Несанкционированное изменение информации</w:t>
      </w:r>
    </w:p>
    <w:p>
      <w:r>
        <w:t>Нарушитель получает доступ к приложению или использует чрезмерные права пользователя, после чего изменяет сведения в базе данных. Ошибочные записи способны повлиять на обработку документов и потребовать дополнительной проверки. Для снижения риска нужны ограничения на изменение критичных полей, журналирование операций и контроль необычных действий.</w:t>
      </w:r>
    </w:p>
    <w:p>
      <w:pPr>
        <w:pStyle w:val="Heading2"/>
      </w:pPr>
      <w:r>
        <w:t>4.4. Нарушение доступности электронного сервиса</w:t>
      </w:r>
    </w:p>
    <w:p>
      <w:r>
        <w:t>При атаке на публичный сервис либо отказе важного компонента пользователи могут временно потерять возможность отправить документы или получить необходимые сведения. Последствия уменьшают резервирование ресурсов, фильтрация сетевого трафика, мониторинг нагрузки и заранее подготовленный порядок восстановления.</w:t>
      </w:r>
    </w:p>
    <w:p>
      <w:pPr>
        <w:pStyle w:val="Heading2"/>
      </w:pPr>
      <w:r>
        <w:t>4.5. Утечка по вине пользователя</w:t>
      </w:r>
    </w:p>
    <w:p>
      <w:r>
        <w:t>Сотрудник может отправить файл не тому получателю, сохранить его на неподконтрольном устройстве или скопировать сведения без разрешения. Такие случаи требуют не только технических ограничений, но и понятных регламентов, обучения, контроля передачи данных и принципа минимально необходимых полномочий.</w:t>
      </w:r>
    </w:p>
    <w:p>
      <w:pPr>
        <w:pStyle w:val="Heading1"/>
      </w:pPr>
      <w:r>
        <w:t>5. Сводная оценка рисков</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vAlign w:val="center"/>
          </w:tcPr>
          <w:p>
            <w:pPr>
              <w:spacing w:after="20"/>
            </w:pPr>
            <w:r>
              <w:rPr>
                <w:rFonts w:ascii="Arial" w:hAnsi="Arial"/>
                <w:sz w:val="19"/>
              </w:rPr>
              <w:t>Сценарий</w:t>
            </w:r>
          </w:p>
        </w:tc>
        <w:tc>
          <w:tcPr>
            <w:tcW w:type="dxa" w:w="2451"/>
            <w:vAlign w:val="center"/>
          </w:tcPr>
          <w:p>
            <w:pPr>
              <w:spacing w:after="20"/>
            </w:pPr>
            <w:r>
              <w:rPr>
                <w:rFonts w:ascii="Arial" w:hAnsi="Arial"/>
                <w:sz w:val="19"/>
              </w:rPr>
              <w:t>Вероятность (учебно)</w:t>
            </w:r>
          </w:p>
        </w:tc>
        <w:tc>
          <w:tcPr>
            <w:tcW w:type="dxa" w:w="2451"/>
            <w:vAlign w:val="center"/>
          </w:tcPr>
          <w:p>
            <w:pPr>
              <w:spacing w:after="20"/>
            </w:pPr>
            <w:r>
              <w:rPr>
                <w:rFonts w:ascii="Arial" w:hAnsi="Arial"/>
                <w:sz w:val="19"/>
              </w:rPr>
              <w:t>Влияние</w:t>
            </w:r>
          </w:p>
        </w:tc>
        <w:tc>
          <w:tcPr>
            <w:tcW w:type="dxa" w:w="2451"/>
            <w:vAlign w:val="center"/>
          </w:tcPr>
          <w:p>
            <w:pPr>
              <w:spacing w:after="20"/>
            </w:pPr>
            <w:r>
              <w:rPr>
                <w:rFonts w:ascii="Arial" w:hAnsi="Arial"/>
                <w:sz w:val="19"/>
              </w:rPr>
              <w:t>Общий приоритет</w:t>
            </w:r>
          </w:p>
        </w:tc>
      </w:tr>
      <w:tr>
        <w:tc>
          <w:tcPr>
            <w:tcW w:type="dxa" w:w="2451"/>
            <w:vAlign w:val="center"/>
          </w:tcPr>
          <w:p>
            <w:pPr>
              <w:spacing w:after="20"/>
            </w:pPr>
            <w:r>
              <w:rPr>
                <w:rFonts w:ascii="Arial" w:hAnsi="Arial"/>
                <w:sz w:val="19"/>
              </w:rPr>
              <w:t>Кража учётных данных</w:t>
            </w:r>
          </w:p>
        </w:tc>
        <w:tc>
          <w:tcPr>
            <w:tcW w:type="dxa" w:w="2451"/>
            <w:vAlign w:val="center"/>
          </w:tcPr>
          <w:p>
            <w:pPr>
              <w:spacing w:after="20"/>
            </w:pPr>
            <w:r>
              <w:rPr>
                <w:rFonts w:ascii="Arial" w:hAnsi="Arial"/>
                <w:sz w:val="19"/>
              </w:rPr>
              <w:t>Средняя</w:t>
            </w:r>
          </w:p>
        </w:tc>
        <w:tc>
          <w:tcPr>
            <w:tcW w:type="dxa" w:w="2451"/>
            <w:vAlign w:val="center"/>
          </w:tcPr>
          <w:p>
            <w:pPr>
              <w:spacing w:after="20"/>
            </w:pPr>
            <w:r>
              <w:rPr>
                <w:rFonts w:ascii="Arial" w:hAnsi="Arial"/>
                <w:sz w:val="19"/>
              </w:rPr>
              <w:t>Высокое</w:t>
            </w:r>
          </w:p>
        </w:tc>
        <w:tc>
          <w:tcPr>
            <w:tcW w:type="dxa" w:w="2451"/>
            <w:vAlign w:val="center"/>
          </w:tcPr>
          <w:p>
            <w:pPr>
              <w:spacing w:after="20"/>
            </w:pPr>
            <w:r>
              <w:rPr>
                <w:rFonts w:ascii="Arial" w:hAnsi="Arial"/>
                <w:sz w:val="19"/>
              </w:rPr>
              <w:t>Высокий</w:t>
            </w:r>
          </w:p>
        </w:tc>
      </w:tr>
      <w:tr>
        <w:tc>
          <w:tcPr>
            <w:tcW w:type="dxa" w:w="2451"/>
            <w:vAlign w:val="center"/>
          </w:tcPr>
          <w:p>
            <w:pPr>
              <w:spacing w:after="20"/>
            </w:pPr>
            <w:r>
              <w:rPr>
                <w:rFonts w:ascii="Arial" w:hAnsi="Arial"/>
                <w:sz w:val="19"/>
              </w:rPr>
              <w:t>Вредоносное ПО</w:t>
            </w:r>
          </w:p>
        </w:tc>
        <w:tc>
          <w:tcPr>
            <w:tcW w:type="dxa" w:w="2451"/>
            <w:vAlign w:val="center"/>
          </w:tcPr>
          <w:p>
            <w:pPr>
              <w:spacing w:after="20"/>
            </w:pPr>
            <w:r>
              <w:rPr>
                <w:rFonts w:ascii="Arial" w:hAnsi="Arial"/>
                <w:sz w:val="19"/>
              </w:rPr>
              <w:t>Средняя</w:t>
            </w:r>
          </w:p>
        </w:tc>
        <w:tc>
          <w:tcPr>
            <w:tcW w:type="dxa" w:w="2451"/>
            <w:vAlign w:val="center"/>
          </w:tcPr>
          <w:p>
            <w:pPr>
              <w:spacing w:after="20"/>
            </w:pPr>
            <w:r>
              <w:rPr>
                <w:rFonts w:ascii="Arial" w:hAnsi="Arial"/>
                <w:sz w:val="19"/>
              </w:rPr>
              <w:t>Высокое</w:t>
            </w:r>
          </w:p>
        </w:tc>
        <w:tc>
          <w:tcPr>
            <w:tcW w:type="dxa" w:w="2451"/>
            <w:vAlign w:val="center"/>
          </w:tcPr>
          <w:p>
            <w:pPr>
              <w:spacing w:after="20"/>
            </w:pPr>
            <w:r>
              <w:rPr>
                <w:rFonts w:ascii="Arial" w:hAnsi="Arial"/>
                <w:sz w:val="19"/>
              </w:rPr>
              <w:t>Высокий</w:t>
            </w:r>
          </w:p>
        </w:tc>
      </w:tr>
      <w:tr>
        <w:tc>
          <w:tcPr>
            <w:tcW w:type="dxa" w:w="2451"/>
            <w:vAlign w:val="center"/>
          </w:tcPr>
          <w:p>
            <w:pPr>
              <w:spacing w:after="20"/>
            </w:pPr>
            <w:r>
              <w:rPr>
                <w:rFonts w:ascii="Arial" w:hAnsi="Arial"/>
                <w:sz w:val="19"/>
              </w:rPr>
              <w:t>Изменение важных записей</w:t>
            </w:r>
          </w:p>
        </w:tc>
        <w:tc>
          <w:tcPr>
            <w:tcW w:type="dxa" w:w="2451"/>
            <w:vAlign w:val="center"/>
          </w:tcPr>
          <w:p>
            <w:pPr>
              <w:spacing w:after="20"/>
            </w:pPr>
            <w:r>
              <w:rPr>
                <w:rFonts w:ascii="Arial" w:hAnsi="Arial"/>
                <w:sz w:val="19"/>
              </w:rPr>
              <w:t>Низкая / средняя</w:t>
            </w:r>
          </w:p>
        </w:tc>
        <w:tc>
          <w:tcPr>
            <w:tcW w:type="dxa" w:w="2451"/>
            <w:vAlign w:val="center"/>
          </w:tcPr>
          <w:p>
            <w:pPr>
              <w:spacing w:after="20"/>
            </w:pPr>
            <w:r>
              <w:rPr>
                <w:rFonts w:ascii="Arial" w:hAnsi="Arial"/>
                <w:sz w:val="19"/>
              </w:rPr>
              <w:t>Высокое</w:t>
            </w:r>
          </w:p>
        </w:tc>
        <w:tc>
          <w:tcPr>
            <w:tcW w:type="dxa" w:w="2451"/>
            <w:vAlign w:val="center"/>
          </w:tcPr>
          <w:p>
            <w:pPr>
              <w:spacing w:after="20"/>
            </w:pPr>
            <w:r>
              <w:rPr>
                <w:rFonts w:ascii="Arial" w:hAnsi="Arial"/>
                <w:sz w:val="19"/>
              </w:rPr>
              <w:t>Высокий</w:t>
            </w:r>
          </w:p>
        </w:tc>
      </w:tr>
      <w:tr>
        <w:tc>
          <w:tcPr>
            <w:tcW w:type="dxa" w:w="2451"/>
            <w:vAlign w:val="center"/>
          </w:tcPr>
          <w:p>
            <w:pPr>
              <w:spacing w:after="20"/>
            </w:pPr>
            <w:r>
              <w:rPr>
                <w:rFonts w:ascii="Arial" w:hAnsi="Arial"/>
                <w:sz w:val="19"/>
              </w:rPr>
              <w:t>Случайная отправка данных</w:t>
            </w:r>
          </w:p>
        </w:tc>
        <w:tc>
          <w:tcPr>
            <w:tcW w:type="dxa" w:w="2451"/>
            <w:vAlign w:val="center"/>
          </w:tcPr>
          <w:p>
            <w:pPr>
              <w:spacing w:after="20"/>
            </w:pPr>
            <w:r>
              <w:rPr>
                <w:rFonts w:ascii="Arial" w:hAnsi="Arial"/>
                <w:sz w:val="19"/>
              </w:rPr>
              <w:t>Средняя</w:t>
            </w:r>
          </w:p>
        </w:tc>
        <w:tc>
          <w:tcPr>
            <w:tcW w:type="dxa" w:w="2451"/>
            <w:vAlign w:val="center"/>
          </w:tcPr>
          <w:p>
            <w:pPr>
              <w:spacing w:after="20"/>
            </w:pPr>
            <w:r>
              <w:rPr>
                <w:rFonts w:ascii="Arial" w:hAnsi="Arial"/>
                <w:sz w:val="19"/>
              </w:rPr>
              <w:t>Среднее / высокое</w:t>
            </w:r>
          </w:p>
        </w:tc>
        <w:tc>
          <w:tcPr>
            <w:tcW w:type="dxa" w:w="2451"/>
            <w:vAlign w:val="center"/>
          </w:tcPr>
          <w:p>
            <w:pPr>
              <w:spacing w:after="20"/>
            </w:pPr>
            <w:r>
              <w:rPr>
                <w:rFonts w:ascii="Arial" w:hAnsi="Arial"/>
                <w:sz w:val="19"/>
              </w:rPr>
              <w:t>Средний / высокий</w:t>
            </w:r>
          </w:p>
        </w:tc>
      </w:tr>
      <w:tr>
        <w:tc>
          <w:tcPr>
            <w:tcW w:type="dxa" w:w="2451"/>
            <w:vAlign w:val="center"/>
          </w:tcPr>
          <w:p>
            <w:pPr>
              <w:spacing w:after="20"/>
            </w:pPr>
            <w:r>
              <w:rPr>
                <w:rFonts w:ascii="Arial" w:hAnsi="Arial"/>
                <w:sz w:val="19"/>
              </w:rPr>
              <w:t>Отказ оборудования</w:t>
            </w:r>
          </w:p>
        </w:tc>
        <w:tc>
          <w:tcPr>
            <w:tcW w:type="dxa" w:w="2451"/>
            <w:vAlign w:val="center"/>
          </w:tcPr>
          <w:p>
            <w:pPr>
              <w:spacing w:after="20"/>
            </w:pPr>
            <w:r>
              <w:rPr>
                <w:rFonts w:ascii="Arial" w:hAnsi="Arial"/>
                <w:sz w:val="19"/>
              </w:rPr>
              <w:t>Низкая / средняя</w:t>
            </w:r>
          </w:p>
        </w:tc>
        <w:tc>
          <w:tcPr>
            <w:tcW w:type="dxa" w:w="2451"/>
            <w:vAlign w:val="center"/>
          </w:tcPr>
          <w:p>
            <w:pPr>
              <w:spacing w:after="20"/>
            </w:pPr>
            <w:r>
              <w:rPr>
                <w:rFonts w:ascii="Arial" w:hAnsi="Arial"/>
                <w:sz w:val="19"/>
              </w:rPr>
              <w:t>Среднее</w:t>
            </w:r>
          </w:p>
        </w:tc>
        <w:tc>
          <w:tcPr>
            <w:tcW w:type="dxa" w:w="2451"/>
            <w:vAlign w:val="center"/>
          </w:tcPr>
          <w:p>
            <w:pPr>
              <w:spacing w:after="20"/>
            </w:pPr>
            <w:r>
              <w:rPr>
                <w:rFonts w:ascii="Arial" w:hAnsi="Arial"/>
                <w:sz w:val="19"/>
              </w:rPr>
              <w:t>Средний</w:t>
            </w:r>
          </w:p>
        </w:tc>
      </w:tr>
      <w:tr>
        <w:tc>
          <w:tcPr>
            <w:tcW w:type="dxa" w:w="2451"/>
            <w:vAlign w:val="center"/>
          </w:tcPr>
          <w:p>
            <w:pPr>
              <w:spacing w:after="20"/>
            </w:pPr>
            <w:r>
              <w:rPr>
                <w:rFonts w:ascii="Arial" w:hAnsi="Arial"/>
                <w:sz w:val="19"/>
              </w:rPr>
              <w:t>Атака на доступность</w:t>
            </w:r>
          </w:p>
        </w:tc>
        <w:tc>
          <w:tcPr>
            <w:tcW w:type="dxa" w:w="2451"/>
            <w:vAlign w:val="center"/>
          </w:tcPr>
          <w:p>
            <w:pPr>
              <w:spacing w:after="20"/>
            </w:pPr>
            <w:r>
              <w:rPr>
                <w:rFonts w:ascii="Arial" w:hAnsi="Arial"/>
                <w:sz w:val="19"/>
              </w:rPr>
              <w:t>Средняя</w:t>
            </w:r>
          </w:p>
        </w:tc>
        <w:tc>
          <w:tcPr>
            <w:tcW w:type="dxa" w:w="2451"/>
            <w:vAlign w:val="center"/>
          </w:tcPr>
          <w:p>
            <w:pPr>
              <w:spacing w:after="20"/>
            </w:pPr>
            <w:r>
              <w:rPr>
                <w:rFonts w:ascii="Arial" w:hAnsi="Arial"/>
                <w:sz w:val="19"/>
              </w:rPr>
              <w:t>Высокое при длительном сбое</w:t>
            </w:r>
          </w:p>
        </w:tc>
        <w:tc>
          <w:tcPr>
            <w:tcW w:type="dxa" w:w="2451"/>
            <w:vAlign w:val="center"/>
          </w:tcPr>
          <w:p>
            <w:pPr>
              <w:spacing w:after="20"/>
            </w:pPr>
            <w:r>
              <w:rPr>
                <w:rFonts w:ascii="Arial" w:hAnsi="Arial"/>
                <w:sz w:val="19"/>
              </w:rPr>
              <w:t>Высокий</w:t>
            </w:r>
          </w:p>
        </w:tc>
      </w:tr>
    </w:tbl>
    <w:p>
      <w:r>
        <w:t>Оценки приведены для учебного примера и не являются результатом обследования ФНС. При реальном анализе вероятность и влияние устанавливаются по документированным данным: архитектуре, статистике инцидентов, результатам проверки защищённости и эффективности уже внедрённых мер.</w:t>
      </w:r>
    </w:p>
    <w:p>
      <w:pPr>
        <w:pStyle w:val="Heading1"/>
      </w:pPr>
      <w:r>
        <w:t>6. Комплекс защитных мер</w:t>
      </w:r>
    </w:p>
    <w:p>
      <w:pPr>
        <w:pStyle w:val="Heading2"/>
      </w:pPr>
      <w:r>
        <w:t>6.1. Организационные меры</w:t>
      </w:r>
    </w:p>
    <w:p>
      <w:pPr>
        <w:pStyle w:val="ListBullet"/>
      </w:pPr>
      <w:r>
        <w:t>утвердить правила доступа к налоговой и персональной информации;</w:t>
      </w:r>
    </w:p>
    <w:p>
      <w:pPr>
        <w:pStyle w:val="ListBullet"/>
      </w:pPr>
      <w:r>
        <w:t>назначать владельцев данных и ответственных за информационную безопасность;</w:t>
      </w:r>
    </w:p>
    <w:p>
      <w:pPr>
        <w:pStyle w:val="ListBullet"/>
      </w:pPr>
      <w:r>
        <w:t>регулярно пересматривать полномочия сотрудников и подрядчиков;</w:t>
      </w:r>
    </w:p>
    <w:p>
      <w:pPr>
        <w:pStyle w:val="ListBullet"/>
      </w:pPr>
      <w:r>
        <w:t>обучать персонал распознаванию фишинга и правилам передачи документов;</w:t>
      </w:r>
    </w:p>
    <w:p>
      <w:pPr>
        <w:pStyle w:val="ListBullet"/>
      </w:pPr>
      <w:r>
        <w:t>установить порядок регистрации, эскалации и расследования инцидентов;</w:t>
      </w:r>
    </w:p>
    <w:p>
      <w:pPr>
        <w:pStyle w:val="ListBullet"/>
      </w:pPr>
      <w:r>
        <w:t>проверять выполнение требований и документировать результаты.</w:t>
      </w:r>
    </w:p>
    <w:p>
      <w:pPr>
        <w:pStyle w:val="Heading2"/>
      </w:pPr>
      <w:r>
        <w:t>6.2. Технические меры</w:t>
      </w:r>
    </w:p>
    <w:p>
      <w:pPr>
        <w:pStyle w:val="ListBullet"/>
      </w:pPr>
      <w:r>
        <w:t>внедрить многофакторную аутентификацию для критичных систем;</w:t>
      </w:r>
    </w:p>
    <w:p>
      <w:pPr>
        <w:pStyle w:val="ListBullet"/>
      </w:pPr>
      <w:r>
        <w:t>применять принцип минимальных привилегий и разделение административных ролей;</w:t>
      </w:r>
    </w:p>
    <w:p>
      <w:pPr>
        <w:pStyle w:val="ListBullet"/>
      </w:pPr>
      <w:r>
        <w:t>использовать межсетевые экраны, сегментацию сети и защищённые каналы связи;</w:t>
      </w:r>
    </w:p>
    <w:p>
      <w:pPr>
        <w:pStyle w:val="ListBullet"/>
      </w:pPr>
      <w:r>
        <w:t>обновлять операционные системы и приложения, контролировать уязвимости;</w:t>
      </w:r>
    </w:p>
    <w:p>
      <w:pPr>
        <w:pStyle w:val="ListBullet"/>
      </w:pPr>
      <w:r>
        <w:t>использовать средства защиты конечных устройств и блокировать подозрительные файлы;</w:t>
      </w:r>
    </w:p>
    <w:p>
      <w:pPr>
        <w:pStyle w:val="ListBullet"/>
      </w:pPr>
      <w:r>
        <w:t>шифровать чувствительную информацию при передаче и при необходимости при хранении;</w:t>
      </w:r>
    </w:p>
    <w:p>
      <w:pPr>
        <w:pStyle w:val="ListBullet"/>
      </w:pPr>
      <w:r>
        <w:t>вести централизованные журналы событий и отслеживать необычные действия;</w:t>
      </w:r>
    </w:p>
    <w:p>
      <w:pPr>
        <w:pStyle w:val="ListBullet"/>
      </w:pPr>
      <w:r>
        <w:t>создавать резервные копии, ограничивать доступ к ним и регулярно проверять восстановление;</w:t>
      </w:r>
    </w:p>
    <w:p>
      <w:pPr>
        <w:pStyle w:val="ListBullet"/>
      </w:pPr>
      <w:r>
        <w:t>предусмотреть резервирование критичных компонентов и контроль доступности сервисов.</w:t>
      </w:r>
    </w:p>
    <w:p>
      <w:pPr>
        <w:pStyle w:val="Heading1"/>
      </w:pPr>
      <w:r>
        <w:t>7. План реагирования на инциденты</w:t>
      </w:r>
    </w:p>
    <w:p>
      <w:r>
        <w:t>Если обнаружены признаки компрометации или сбоя, действия должны выполняться последовательно:</w:t>
      </w:r>
    </w:p>
    <w:p>
      <w:pPr>
        <w:pStyle w:val="ListNumber"/>
      </w:pPr>
      <w:r>
        <w:t>Обнаружение и регистрация: зафиксировать время, симптомы и затронутый ресурс.</w:t>
      </w:r>
    </w:p>
    <w:p>
      <w:pPr>
        <w:pStyle w:val="ListNumber"/>
      </w:pPr>
      <w:r>
        <w:t>Оповещение: сообщить ответственному подразделению в соответствии с внутренним регламентом.</w:t>
      </w:r>
    </w:p>
    <w:p>
      <w:pPr>
        <w:pStyle w:val="ListNumber"/>
      </w:pPr>
      <w:r>
        <w:t>Локализация: ограничить подозрительные подключения или изолировать затронутое устройство.</w:t>
      </w:r>
    </w:p>
    <w:p>
      <w:pPr>
        <w:pStyle w:val="ListNumber"/>
      </w:pPr>
      <w:r>
        <w:t>Анализ: определить причину, масштаб, тип данных и перечень затронутых учётных записей.</w:t>
      </w:r>
    </w:p>
    <w:p>
      <w:pPr>
        <w:pStyle w:val="ListNumber"/>
      </w:pPr>
      <w:r>
        <w:t>Восстановление: устранить источник угрозы, восстановить данные из проверенной копии и проверить работоспособность.</w:t>
      </w:r>
    </w:p>
    <w:p>
      <w:pPr>
        <w:pStyle w:val="ListNumber"/>
      </w:pPr>
      <w:r>
        <w:t>Профилактика: подготовить выводы, изменить настройки и провести дополнительный инструктаж при необходимости.</w:t>
      </w:r>
    </w:p>
    <w:p>
      <w:pPr>
        <w:pStyle w:val="Heading1"/>
      </w:pPr>
      <w:r>
        <w:t>8. Проверка эффективности защиты</w:t>
      </w:r>
    </w:p>
    <w:p>
      <w:r>
        <w:t>Для проверки выполнения предложенных мер целесообразно периодически оценивать:</w:t>
      </w:r>
    </w:p>
    <w:p>
      <w:pPr>
        <w:pStyle w:val="ListBullet"/>
      </w:pPr>
      <w:r>
        <w:t>долю критичных учётных записей, защищённых многофакторной аутентификацией;</w:t>
      </w:r>
    </w:p>
    <w:p>
      <w:pPr>
        <w:pStyle w:val="ListBullet"/>
      </w:pPr>
      <w:r>
        <w:t>своевременность установки обновлений безопасности;</w:t>
      </w:r>
    </w:p>
    <w:p>
      <w:pPr>
        <w:pStyle w:val="ListBullet"/>
      </w:pPr>
      <w:r>
        <w:t>успешность восстановления данных из резервных копий;</w:t>
      </w:r>
    </w:p>
    <w:p>
      <w:pPr>
        <w:pStyle w:val="ListBullet"/>
      </w:pPr>
      <w:r>
        <w:t>наличие журналов и возможность расследовать действия пользователей;</w:t>
      </w:r>
    </w:p>
    <w:p>
      <w:pPr>
        <w:pStyle w:val="ListBullet"/>
      </w:pPr>
      <w:r>
        <w:t>время обнаружения и локализации инцидентов;</w:t>
      </w:r>
    </w:p>
    <w:p>
      <w:pPr>
        <w:pStyle w:val="ListBullet"/>
      </w:pPr>
      <w:r>
        <w:t>результаты обучения сотрудников и проверок на фишинговые сообщения.</w:t>
      </w:r>
    </w:p>
    <w:p>
      <w:r>
        <w:t>Такие показатели помогают обнаруживать слабые места и корректировать план защиты, а не ограничиваться формальным наличием средств безопасности.</w:t>
      </w:r>
    </w:p>
    <w:p>
      <w:pPr>
        <w:pStyle w:val="Heading1"/>
      </w:pPr>
      <w:r>
        <w:t>9. Нормативные и методические источники</w:t>
      </w:r>
    </w:p>
    <w:p>
      <w:r>
        <w:t>При подготовке модели угроз необходимо учитывать применимые требования законодательства Российской Федерации и методические документы регулятора. В качестве базовых источников для учебной работы использованы:</w:t>
      </w:r>
    </w:p>
    <w:p>
      <w:pPr>
        <w:pStyle w:val="ListNumber"/>
      </w:pPr>
      <w:r>
        <w:t>Методика оценки угроз безопасности информации ФСТЭК России от 5 февраля 2021 года;</w:t>
      </w:r>
    </w:p>
    <w:p>
      <w:pPr>
        <w:pStyle w:val="ListNumber"/>
      </w:pPr>
      <w:r>
        <w:t>Федеральный закон от 27.07.2006 № 152-ФЗ «О персональных данных»;</w:t>
      </w:r>
    </w:p>
    <w:p>
      <w:pPr>
        <w:pStyle w:val="ListNumber"/>
      </w:pPr>
      <w:r>
        <w:t>Федеральный закон от 27.07.2006 № 149-ФЗ «Об информации, информационных технологиях и о защите информации»;</w:t>
      </w:r>
    </w:p>
    <w:p>
      <w:pPr>
        <w:pStyle w:val="ListNumber"/>
      </w:pPr>
      <w:r>
        <w:t>Банк данных угроз безопасности информации ФСТЭК России: https://bdu.fstec.ru/;</w:t>
      </w:r>
    </w:p>
    <w:p>
      <w:pPr>
        <w:pStyle w:val="ListNumber"/>
      </w:pPr>
      <w:r>
        <w:t>Официальный сайт Федеральной налоговой службы России: https://www.nalog.gov.ru/.</w:t>
      </w:r>
    </w:p>
    <w:p>
      <w:r>
        <w:t>Конкретный набор обязательных мер зависит от класса или уровня защищённости системы, видов обрабатываемых сведений и действующих нормативных требований. Поэтому перечень в данной работе рассматривается как учебная рекомендация, а не как официальная оценка защищённости инфраструктуры ФНС.</w:t>
      </w:r>
    </w:p>
    <w:p>
      <w:pPr>
        <w:pStyle w:val="Heading1"/>
      </w:pPr>
      <w:r>
        <w:t>Заключение</w:t>
      </w:r>
    </w:p>
    <w:p>
      <w:r>
        <w:t>В работе сформирована учебная модель угроз для обобщённой информационной системы Федеральной налоговой службы. Выделены основные информационные и технические активы, описаны категории нарушителей и рассмотрены сценарии компрометации учётных записей, заражения вредоносным ПО, изменения данных, утечки и нарушения доступности сервисов.</w:t>
      </w:r>
    </w:p>
    <w:p>
      <w:r>
        <w:t>Наибольшее внимание следует уделять защите учётных записей, ограничению прав пользователей, контролю изменений, защите конечных устройств, резервному копированию и мониторингу событий. Эффективная защита достигается сочетанием организационных правил, технических средств и подготовки сотрудников. Модель угроз должна обновляться при изменении системы, появлении новых способов атак или выявлении недостатков.</w:t>
      </w:r>
    </w:p>
    <w:sectPr w:rsidR="00FC693F" w:rsidRPr="0006063C" w:rsidSect="00034616">
      <w:footerReference w:type="default" r:id="rId9"/>
      <w:pgSz w:w="12240" w:h="15840"/>
      <w:pgMar w:top="1134"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