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ПРАКТИЧЕСКАЯ РАБОТА № 3</w:t>
      </w:r>
    </w:p>
    <w:p>
      <w:pPr>
        <w:jc w:val="center"/>
      </w:pPr>
      <w:r>
        <w:rPr>
          <w:rFonts w:ascii="Arial" w:hAnsi="Arial"/>
          <w:b/>
          <w:sz w:val="26"/>
        </w:rPr>
        <w:t>Модель угроз информационной безопасности</w:t>
      </w:r>
    </w:p>
    <w:p>
      <w:pPr>
        <w:jc w:val="center"/>
      </w:pPr>
      <w:r>
        <w:rPr>
          <w:rFonts w:ascii="Arial" w:hAnsi="Arial"/>
          <w:b/>
          <w:sz w:val="24"/>
        </w:rPr>
        <w:t>Вариант 2 — Федеральная налоговая служба России</w:t>
      </w:r>
    </w:p>
    <w:p/>
    <w:p>
      <w:r>
        <w:rPr>
          <w:b/>
        </w:rPr>
        <w:t xml:space="preserve">Выполнил(а): </w:t>
      </w:r>
      <w:r>
        <w:t>__________________________</w:t>
      </w:r>
    </w:p>
    <w:p>
      <w:r>
        <w:rPr>
          <w:b/>
        </w:rPr>
        <w:t xml:space="preserve">Группа: </w:t>
      </w:r>
      <w:r>
        <w:t>______________</w:t>
      </w:r>
    </w:p>
    <w:p>
      <w:r>
        <w:rPr>
          <w:b/>
        </w:rPr>
        <w:t xml:space="preserve">Преподаватель: </w:t>
      </w:r>
      <w:r>
        <w:t>__________________________</w:t>
      </w:r>
    </w:p>
    <w:p>
      <w:pPr>
        <w:pStyle w:val="Heading1"/>
      </w:pPr>
      <w:r>
        <w:t>1. Назначение работы</w:t>
      </w:r>
    </w:p>
    <w:p>
      <w:r>
        <w:t>Цель работы — определить, какие сведения и технические ресурсы ФНС России нуждаются в защите, какие события могут нарушить их безопасность и какими мерами можно уменьшить соответствующие риски.</w:t>
      </w:r>
    </w:p>
    <w:p>
      <w:pPr>
        <w:pStyle w:val="Heading1"/>
      </w:pPr>
      <w:r>
        <w:t>2. Краткое описание системы</w:t>
      </w:r>
    </w:p>
    <w:p>
      <w:r>
        <w:t>Федеральная налоговая служба использует информационные ресурсы для ведения учёта налогоплательщиков, приёма деклараций, обработки сведений о налогах и платежах, а также предоставления электронных услуг. В работе таких ресурсов участвуют базы данных, серверы, рабочие места специалистов, программные приложения и каналы обмена данными.</w:t>
      </w:r>
    </w:p>
    <w:p>
      <w:r>
        <w:t>В рамках этой учебной модели рассматривается обобщённая система. Её важнейшие требования — не допускать раскрытия сведений посторонним лицам, сохранять правильность записей и поддерживать доступность сервисов.</w:t>
      </w:r>
    </w:p>
    <w:p>
      <w:pPr>
        <w:pStyle w:val="Heading1"/>
      </w:pPr>
      <w:r>
        <w:t>3. Что необходимо защищать</w:t>
      </w:r>
    </w:p>
    <w:p>
      <w:pPr>
        <w:pStyle w:val="ListBullet"/>
      </w:pPr>
      <w:r>
        <w:t>данные о гражданах, организациях и индивидуальных предпринимателях;</w:t>
      </w:r>
    </w:p>
    <w:p>
      <w:pPr>
        <w:pStyle w:val="ListBullet"/>
      </w:pPr>
      <w:r>
        <w:t>налоговые декларации, начисления и сведения о платежах;</w:t>
      </w:r>
    </w:p>
    <w:p>
      <w:pPr>
        <w:pStyle w:val="ListBullet"/>
      </w:pPr>
      <w:r>
        <w:t>логины, пароли и права доступа работников;</w:t>
      </w:r>
    </w:p>
    <w:p>
      <w:pPr>
        <w:pStyle w:val="ListBullet"/>
      </w:pPr>
      <w:r>
        <w:t>серверы, рабочие компьютеры, базы данных и сетевое оборудование;</w:t>
      </w:r>
    </w:p>
    <w:p>
      <w:pPr>
        <w:pStyle w:val="ListBullet"/>
      </w:pPr>
      <w:r>
        <w:t>резервные копии, журналы действий и служебные документы.</w:t>
      </w:r>
    </w:p>
    <w:p>
      <w:pPr>
        <w:pStyle w:val="Heading1"/>
      </w:pPr>
      <w:r>
        <w:t>4. Источники угроз</w:t>
      </w:r>
    </w:p>
    <w:p>
      <w:pPr>
        <w:pStyle w:val="ListNumber"/>
      </w:pPr>
      <w:r>
        <w:rPr>
          <w:b/>
        </w:rPr>
        <w:t xml:space="preserve">Интернет-злоумышленники. </w:t>
      </w:r>
      <w:r>
        <w:t>Могут искать уязвимости, красть пароли и атаковать публичные сервисы.</w:t>
      </w:r>
    </w:p>
    <w:p>
      <w:pPr>
        <w:pStyle w:val="ListNumber"/>
      </w:pPr>
      <w:r>
        <w:rPr>
          <w:b/>
        </w:rPr>
        <w:t xml:space="preserve">Пользователи с законным доступом. </w:t>
      </w:r>
      <w:r>
        <w:t>Могут превышать свои полномочия или случайно раскрывать сведения.</w:t>
      </w:r>
    </w:p>
    <w:p>
      <w:pPr>
        <w:pStyle w:val="ListNumber"/>
      </w:pPr>
      <w:r>
        <w:rPr>
          <w:b/>
        </w:rPr>
        <w:t xml:space="preserve">Подрядчики и бывшие сотрудники. </w:t>
      </w:r>
      <w:r>
        <w:t>Риск возникает, если доступы не отозваны или настроены слишком широко.</w:t>
      </w:r>
    </w:p>
    <w:p>
      <w:pPr>
        <w:pStyle w:val="ListNumber"/>
      </w:pPr>
      <w:r>
        <w:rPr>
          <w:b/>
        </w:rPr>
        <w:t xml:space="preserve">Технические сбои и ошибки. </w:t>
      </w:r>
      <w:r>
        <w:t>Отказ оборудования, неправильная конфигурация и действия пользователя могут привести к потере доступности или данных.</w:t>
      </w:r>
    </w:p>
    <w:p>
      <w:pPr>
        <w:pStyle w:val="Heading1"/>
      </w:pPr>
      <w:r>
        <w:t>5. Реестр основных угроз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№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Событие / угроза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Возможный результат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Приоритет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Кража учётной записи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Доступ к закрытым сведениям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Фишинговое письмо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Запуск вредоносного файла или раскрытие пароля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Изменение записи в базе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Ошибочные сведения о налогоплательщике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Утечка данных сотрудником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Раскрытие конфиденциальной информации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DDoS-атака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Недоступность электронного сервиса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Средний / высокий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Отказ сервера или диска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Простой системы, задержка обработки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Средний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Удаление или шифрование файлов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Потеря информации и необходимость восстановления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Ошибочные права доступа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Просмотр данных неуполномоченными лицами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Средний / высокий</w:t>
            </w:r>
          </w:p>
        </w:tc>
      </w:tr>
    </w:tbl>
    <w:p>
      <w:r>
        <w:t>Приоритет указан предварительно для учебного примера. В реальном проекте его определяют после изучения архитектуры системы, состава данных и действующих средств защиты.</w:t>
      </w:r>
    </w:p>
    <w:p>
      <w:pPr>
        <w:pStyle w:val="Heading1"/>
      </w:pPr>
      <w:r>
        <w:t>6. Рекомендуемые меры</w:t>
      </w:r>
    </w:p>
    <w:p>
      <w:pPr>
        <w:pStyle w:val="ListNumber"/>
      </w:pPr>
      <w:r>
        <w:rPr>
          <w:b/>
        </w:rPr>
        <w:t xml:space="preserve">Управление доступом. </w:t>
      </w:r>
      <w:r>
        <w:t>Назначать права по должностным обязанностям, регулярно проверять их и сразу закрывать ненужные учётные записи.</w:t>
      </w:r>
    </w:p>
    <w:p>
      <w:pPr>
        <w:pStyle w:val="ListNumber"/>
      </w:pPr>
      <w:r>
        <w:rPr>
          <w:b/>
        </w:rPr>
        <w:t xml:space="preserve">Подтверждение личности. </w:t>
      </w:r>
      <w:r>
        <w:t>Применять сложные пароли и многофакторную аутентификацию для критичных ресурсов.</w:t>
      </w:r>
    </w:p>
    <w:p>
      <w:pPr>
        <w:pStyle w:val="ListNumber"/>
      </w:pPr>
      <w:r>
        <w:rPr>
          <w:b/>
        </w:rPr>
        <w:t xml:space="preserve">Защита устройств и сети. </w:t>
      </w:r>
      <w:r>
        <w:t>Использовать антивирусные средства, межсетевые экраны, сегментацию сети и своевременные обновления.</w:t>
      </w:r>
    </w:p>
    <w:p>
      <w:pPr>
        <w:pStyle w:val="ListNumber"/>
      </w:pPr>
      <w:r>
        <w:rPr>
          <w:b/>
        </w:rPr>
        <w:t xml:space="preserve">Сохранность данных. </w:t>
      </w:r>
      <w:r>
        <w:t>Шифровать чувствительные сведения и создавать резервные копии, которые периодически проверяются восстановлением.</w:t>
      </w:r>
    </w:p>
    <w:p>
      <w:pPr>
        <w:pStyle w:val="ListNumber"/>
      </w:pPr>
      <w:r>
        <w:rPr>
          <w:b/>
        </w:rPr>
        <w:t xml:space="preserve">Мониторинг. </w:t>
      </w:r>
      <w:r>
        <w:t>Регистрировать входы и изменения данных, анализировать подозрительную активность.</w:t>
      </w:r>
    </w:p>
    <w:p>
      <w:pPr>
        <w:pStyle w:val="ListNumber"/>
      </w:pPr>
      <w:r>
        <w:rPr>
          <w:b/>
        </w:rPr>
        <w:t xml:space="preserve">Подготовка сотрудников. </w:t>
      </w:r>
      <w:r>
        <w:t>Обучать распознаванию фишинга и безопасной работе с документами.</w:t>
      </w:r>
    </w:p>
    <w:p>
      <w:pPr>
        <w:pStyle w:val="Heading1"/>
      </w:pPr>
      <w:r>
        <w:t>7. Действия при инциденте</w:t>
      </w:r>
    </w:p>
    <w:p>
      <w:r>
        <w:t>При обнаружении подозрительной активности следует сообщить ответственному специалисту, ограничить распространение угрозы, сохранить журналы событий, определить затронутые ресурсы, устранить причину и проверить восстановление системы. После инцидента необходимо пересмотреть меры защиты.</w:t>
      </w:r>
    </w:p>
    <w:p>
      <w:pPr>
        <w:pStyle w:val="Heading1"/>
      </w:pPr>
      <w:r>
        <w:t>Вывод</w:t>
      </w:r>
    </w:p>
    <w:p>
      <w:r>
        <w:t>Для информационных ресурсов ФНС особенно важны защита персональных и налоговых сведений, точность хранимых записей и бесперебойная работа электронных услуг. Наиболее существенные риски связаны с компрометацией учётных записей, вредоносным ПО, утечкой данных и отказом сервисов. Сочетание технических средств, правил доступа, резервного копирования и обучения персонала позволяет уменьшить вероятность таких событий.</w:t>
      </w:r>
    </w:p>
    <w:p>
      <w:pPr>
        <w:pStyle w:val="Heading1"/>
      </w:pPr>
      <w:r>
        <w:t>Источники</w:t>
      </w:r>
    </w:p>
    <w:p>
      <w:pPr>
        <w:pStyle w:val="ListNumber"/>
      </w:pPr>
      <w:r>
        <w:t>ФСТЭК России. Методика оценки угроз безопасности информации, 05.02.2021.</w:t>
      </w:r>
    </w:p>
    <w:p>
      <w:pPr>
        <w:pStyle w:val="ListNumber"/>
      </w:pPr>
      <w:r>
        <w:t>Банк данных угроз безопасности информации ФСТЭК России: https://bdu.fstec.ru/</w:t>
      </w:r>
    </w:p>
    <w:p>
      <w:pPr>
        <w:pStyle w:val="ListNumber"/>
      </w:pPr>
      <w:r>
        <w:t>Федеральная налоговая служба России: https://www.nalog.gov.ru/</w:t>
      </w:r>
    </w:p>
    <w:p>
      <w:pPr>
        <w:pStyle w:val="ListNumber"/>
      </w:pPr>
      <w:r>
        <w:t>Федеральный закон № 152-ФЗ «О персональных данных».</w:t>
      </w:r>
    </w:p>
    <w:p>
      <w:pPr>
        <w:pStyle w:val="ListNumber"/>
      </w:pPr>
      <w:r>
        <w:t>Федеральный закон № 149-ФЗ «Об информации, информационных технологиях и о защите информации».</w:t>
      </w:r>
    </w:p>
    <w:sectPr w:rsidR="00FC693F" w:rsidRPr="0006063C" w:rsidSect="00034616">
      <w:footerReference w:type="default" r:id="rId9"/>
      <w:pgSz w:w="12240" w:h="15840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