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6EAF9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trgovačkim društvima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 (NN 111/93, 34/99, 121/99, 52/00. 118/03, 107/07, 146/08, 137/09, 125/11, 152/11, 111/12, 68/13, 110/15)</w:t>
      </w:r>
    </w:p>
    <w:p w14:paraId="2091324B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sudskom registru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1/95, 57/96, 1/98, 30/99, 45/99, 54/05, 40/07, 91/10, 90/11, 148/13, 93/14, 110/15)</w:t>
      </w:r>
    </w:p>
    <w:p w14:paraId="7D4326EF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obveznim odnosima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35/05, 41,08, 125/11, 78/15, 29/18)</w:t>
      </w:r>
    </w:p>
    <w:p w14:paraId="143987CD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računovodstvu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78/15, 134/15, 120/16, 116/18)</w:t>
      </w:r>
    </w:p>
    <w:p w14:paraId="7E1B8961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Opći porezni zakon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115/16, 106/18)</w:t>
      </w:r>
    </w:p>
    <w:p w14:paraId="01723A24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porezu na dobit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177/04, 90/05, 57/06, 146/08, 80/10, 22/12, 148/13, 143/14, 50/16, 115/16, 106/18)</w:t>
      </w:r>
    </w:p>
    <w:p w14:paraId="162D19C6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porezu na dodanu vrijednost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73/13, 99/13, 148/13, 153/13, 143/14, 115/16, 106/18)</w:t>
      </w:r>
    </w:p>
    <w:p w14:paraId="5B42783A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fiskalnoj odgovornosti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111/18)</w:t>
      </w:r>
    </w:p>
    <w:p w14:paraId="200B305C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javnoj nabavi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120/16)</w:t>
      </w:r>
    </w:p>
    <w:p w14:paraId="684B0F23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radu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93/14, 127/17)</w:t>
      </w:r>
    </w:p>
    <w:p w14:paraId="2290AA20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zaštiti na radu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71/14, 118/14, 154/14, 94/18, 96/18)</w:t>
      </w:r>
    </w:p>
    <w:p w14:paraId="22DB637F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grobljima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19/98, 50/12, 89/17)</w:t>
      </w:r>
    </w:p>
    <w:p w14:paraId="5584B8C1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komunalnom gospodarstvu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68/18, 110/18)</w:t>
      </w:r>
    </w:p>
    <w:p w14:paraId="5FB0B81A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pravu na pristup informacijama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25/13, 85/15)</w:t>
      </w:r>
    </w:p>
    <w:p w14:paraId="19939E2E" w14:textId="77777777" w:rsidR="00745007" w:rsidRPr="00745007" w:rsidRDefault="00745007" w:rsidP="00745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53535"/>
          <w:sz w:val="21"/>
          <w:szCs w:val="21"/>
          <w:lang w:eastAsia="hr-HR"/>
        </w:rPr>
      </w:pPr>
      <w:r w:rsidRPr="00745007">
        <w:rPr>
          <w:rFonts w:ascii="Tahoma" w:eastAsia="Times New Roman" w:hAnsi="Tahoma" w:cs="Tahoma"/>
          <w:b/>
          <w:bCs/>
          <w:color w:val="353535"/>
          <w:sz w:val="21"/>
          <w:szCs w:val="21"/>
          <w:lang w:eastAsia="hr-HR"/>
        </w:rPr>
        <w:t>Zakon o provedbi opće uredbe o zaštiti podataka</w:t>
      </w:r>
      <w:r w:rsidRPr="00745007">
        <w:rPr>
          <w:rFonts w:ascii="Tahoma" w:eastAsia="Times New Roman" w:hAnsi="Tahoma" w:cs="Tahoma"/>
          <w:color w:val="353535"/>
          <w:sz w:val="21"/>
          <w:szCs w:val="21"/>
          <w:lang w:eastAsia="hr-HR"/>
        </w:rPr>
        <w:t> (NN 42/18)</w:t>
      </w:r>
    </w:p>
    <w:p w14:paraId="18F92F49" w14:textId="77777777" w:rsidR="00CB3484" w:rsidRDefault="00CB3484"/>
    <w:sectPr w:rsidR="00CB3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20389"/>
    <w:multiLevelType w:val="multilevel"/>
    <w:tmpl w:val="9A9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9E"/>
    <w:rsid w:val="00745007"/>
    <w:rsid w:val="0097199E"/>
    <w:rsid w:val="00CB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18A06-4843-46A5-AF30-F7BA925F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745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2021-03-01T12:52:00Z</dcterms:created>
  <dcterms:modified xsi:type="dcterms:W3CDTF">2021-03-01T12:53:00Z</dcterms:modified>
</cp:coreProperties>
</file>