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sz w:val="32"/>
          <w:rFonts w:eastAsia="微軟正黑體" w:ascii="Times New Roman"/>
        </w:rPr>
        <w:t>高一必修化學第四章「生活中的化學」段考練習卷_雙向細目表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微軟正黑體" w:hAnsi="微軟正黑體"/>
                <w:b/>
                <w:i w:val="0"/>
                <w:sz w:val="21"/>
                <w:rFonts w:eastAsia="微軟正黑體" w:ascii="Times New Roman"/>
              </w:rPr>
              <w:t>單元名稱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/>
                <w:i w:val="0"/>
                <w:sz w:val="21"/>
                <w:rFonts w:eastAsia="微軟正黑體" w:ascii="Times New Roman"/>
              </w:rPr>
              <w:t>記憶 (15%)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/>
                <w:i w:val="0"/>
                <w:sz w:val="21"/>
                <w:rFonts w:eastAsia="微軟正黑體" w:ascii="Times New Roman"/>
              </w:rPr>
              <w:t>理解 (25%)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/>
                <w:i w:val="0"/>
                <w:sz w:val="21"/>
                <w:rFonts w:eastAsia="微軟正黑體" w:ascii="Times New Roman"/>
              </w:rPr>
              <w:t>應用 (35%)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/>
                <w:i w:val="0"/>
                <w:sz w:val="21"/>
                <w:rFonts w:eastAsia="微軟正黑體" w:ascii="Times New Roman"/>
              </w:rPr>
              <w:t>分析 (25%)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/>
                <w:i w:val="0"/>
                <w:sz w:val="21"/>
                <w:rFonts w:eastAsia="微軟正黑體" w:ascii="Times New Roman"/>
              </w:rPr>
              <w:t>合計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1. 生物體分子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單1、單2 (6分)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單3、多1 (7分)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單4 (3分)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單5、非1(1)、非1(2) (8分)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24分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2. 藥物與介面活性劑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單8 (3分)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單6、多2 (7分)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單7、單10、非2(1) (8.5分)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單9、非2(2) (5.5分)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24分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3. 環境與化學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單15 (3分)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單12、多3 (7分)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單14、非3(2) (6分)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單11、單13、非3(1) (8分)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24分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4. 化學的現代應用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單16 (3分)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單17、多4 (7分)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單18、單19 (6分)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單20、多5、非4(1)、非4(2) (12分)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28分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合計分數 (百分比)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15分 (15%)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28分 (28.0%)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23.5分 (23.5%)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33.5分 (33.5%)</w:t>
            </w:r>
          </w:p>
        </w:tc>
        <w:tc>
          <w:tcPr>
            <w:tcW w:type="dxa" w:w="1560"/>
          </w:tcPr>
          <w:p>
            <w:r>
              <w:rPr>
                <w:rFonts w:ascii="微軟正黑體" w:hAnsi="微軟正黑體"/>
                <w:b w:val="0"/>
                <w:i w:val="0"/>
                <w:sz w:val="20"/>
                <w:rFonts w:eastAsia="微軟正黑體" w:ascii="Times New Roman"/>
              </w:rPr>
              <w:t>100分</w:t>
            </w:r>
          </w:p>
        </w:tc>
      </w:tr>
    </w:tbl>
    <w:p>
      <w:pPr>
        <w:spacing w:before="240"/>
      </w:pPr>
      <w:r>
        <w:rPr>
          <w:rFonts w:ascii="微軟正黑體" w:hAnsi="微軟正黑體"/>
          <w:b w:val="0"/>
          <w:i w:val="0"/>
          <w:sz w:val="20"/>
          <w:rFonts w:eastAsia="微軟正黑體" w:ascii="Times New Roman"/>
        </w:rPr>
        <w:t>備註：本試卷總分為 100 分。選擇題佔 80 分（單選 60 分、多選 20 分），非選擇題佔 20 分（四大題，每題 5 分，共 20 分）。</w:t>
        <w:br/>
        <w:t>對應課綱章節說明：</w:t>
        <w:br/>
        <w:t xml:space="preserve"> - 生物體分子：高一必修化學 4-1 生物體中的有機分子</w:t>
        <w:br/>
        <w:t xml:space="preserve"> - 藥物與介面活性劑：高一必修化學 4-2 常見的藥物與界面活性劑</w:t>
        <w:br/>
        <w:t xml:space="preserve"> - 環境與化學：高一必修化學 4-3 環境與化學（包含綠色化學）</w:t>
        <w:br/>
        <w:t xml:space="preserve"> - 化學的現代應用：高一必修化學 4-4 化學的現代應用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