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Architecture Protocol Specification</w:t>
      </w:r>
    </w:p>
    <w:p>
      <w:r>
        <w:t>This standard specifies container hardening and permission bounds.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Security Layer</w:t>
            </w:r>
          </w:p>
        </w:tc>
        <w:tc>
          <w:tcPr>
            <w:tcW w:type="dxa" w:w="4320"/>
          </w:tcPr>
          <w:p>
            <w:r>
              <w:t>Policy Rule</w:t>
            </w:r>
          </w:p>
        </w:tc>
      </w:tr>
      <w:tr>
        <w:tc>
          <w:tcPr>
            <w:tcW w:type="dxa" w:w="4320"/>
          </w:tcPr>
          <w:p>
            <w:r>
              <w:t>Network Proxy</w:t>
            </w:r>
          </w:p>
        </w:tc>
        <w:tc>
          <w:tcPr>
            <w:tcW w:type="dxa" w:w="4320"/>
          </w:tcPr>
          <w:p>
            <w:r>
              <w:t>Mutual TLS enforced on port 8443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References</w:t>
      </w:r>
    </w:p>
    <w:p>
      <w:r>
        <w:t>[1] NIST Special Publication 800-190, Application Container Security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