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28"/>
        </w:rPr>
        <w:t>KWAME NKRUMAH UNIVERSITY OF SCIENCE AND TECHNOLOGY, KUMASI</w:t>
      </w:r>
    </w:p>
    <w:p>
      <w:pPr>
        <w:jc w:val="center"/>
      </w:pPr>
      <w:r>
        <w:rPr>
          <w:rFonts w:ascii="Times New Roman" w:hAnsi="Times New Roman"/>
          <w:b/>
          <w:sz w:val="26"/>
        </w:rPr>
        <w:t>COLLEGE OF SCIENCE</w:t>
      </w:r>
    </w:p>
    <w:p>
      <w:pPr>
        <w:jc w:val="center"/>
      </w:pPr>
      <w:r>
        <w:rPr>
          <w:rFonts w:ascii="Times New Roman" w:hAnsi="Times New Roman"/>
          <w:b/>
          <w:sz w:val="26"/>
        </w:rPr>
        <w:t>FACULTY OF PHYSICAL AND COMPUTATIONAL SCIENCES</w:t>
      </w:r>
    </w:p>
    <w:p>
      <w:pPr>
        <w:jc w:val="center"/>
      </w:pPr>
      <w:r>
        <w:rPr>
          <w:rFonts w:ascii="Times New Roman" w:hAnsi="Times New Roman"/>
          <w:b/>
          <w:sz w:val="26"/>
        </w:rPr>
        <w:t>DEPARTMENT OF COMPUTER SCIENCE</w:t>
      </w:r>
    </w:p>
    <w:p/>
    <w:p>
      <w:pPr>
        <w:jc w:val="center"/>
      </w:pPr>
      <w:r>
        <w:rPr>
          <w:rFonts w:ascii="Times New Roman" w:hAnsi="Times New Roman"/>
          <w:b/>
          <w:sz w:val="28"/>
        </w:rPr>
        <w:t>FINAL YEAR PROJECT REPORT</w:t>
      </w:r>
    </w:p>
    <w:p/>
    <w:p>
      <w:pPr>
        <w:jc w:val="center"/>
      </w:pPr>
      <w:r>
        <w:rPr>
          <w:rFonts w:ascii="Times New Roman" w:hAnsi="Times New Roman"/>
          <w:b/>
          <w:sz w:val="26"/>
        </w:rPr>
        <w:t>PROJECT TITLE:</w:t>
      </w:r>
    </w:p>
    <w:p>
      <w:pPr>
        <w:jc w:val="center"/>
      </w:pPr>
      <w:r>
        <w:rPr>
          <w:rFonts w:ascii="Times New Roman" w:hAnsi="Times New Roman"/>
          <w:b/>
          <w:sz w:val="28"/>
        </w:rPr>
        <w:t>mEd: DESIGN AND IMPLEMENTATION OF A SECURE, CENTRALISED</w:t>
      </w:r>
    </w:p>
    <w:p>
      <w:pPr>
        <w:jc w:val="center"/>
      </w:pPr>
      <w:r>
        <w:rPr>
          <w:rFonts w:ascii="Times New Roman" w:hAnsi="Times New Roman"/>
          <w:b/>
          <w:sz w:val="28"/>
        </w:rPr>
        <w:t>INTER-HOSPITAL ELECTRONIC MEDICAL RECORDS SYSTEM</w:t>
      </w:r>
    </w:p>
    <w:p>
      <w:pPr>
        <w:jc w:val="center"/>
      </w:pPr>
      <w:r>
        <w:rPr>
          <w:rFonts w:ascii="Times New Roman" w:hAnsi="Times New Roman"/>
          <w:b/>
          <w:sz w:val="26"/>
        </w:rPr>
        <w:t>WITH FIELD-LEVEL ENCRYPTION, TAMPER-EVIDENT AUDIT LOGGING,</w:t>
      </w:r>
    </w:p>
    <w:p>
      <w:pPr>
        <w:jc w:val="center"/>
      </w:pPr>
      <w:r>
        <w:rPr>
          <w:rFonts w:ascii="Times New Roman" w:hAnsi="Times New Roman"/>
          <w:b/>
          <w:sz w:val="26"/>
        </w:rPr>
        <w:t>GROUNDED AI DECISION SUPPORT, AND FHIR R4 INTEROPERABILITY</w:t>
      </w:r>
    </w:p>
    <w:p/>
    <w:p/>
    <w:p>
      <w:pPr>
        <w:jc w:val="center"/>
      </w:pPr>
      <w:r>
        <w:rPr>
          <w:rFonts w:ascii="Times New Roman" w:hAnsi="Times New Roman"/>
          <w:b/>
          <w:sz w:val="24"/>
        </w:rPr>
        <w:t>SUBMITTED BY:</w:t>
      </w:r>
    </w:p>
    <w:p/>
    <w:p/>
    <w:p/>
    <w:p/>
    <w:p/>
    <w:p>
      <w:pPr>
        <w:jc w:val="center"/>
      </w:pPr>
      <w:r>
        <w:rPr>
          <w:rFonts w:ascii="Times New Roman" w:hAnsi="Times New Roman"/>
          <w:b/>
          <w:sz w:val="24"/>
        </w:rPr>
        <w:t>PROJECT SUPERVISOR</w:t>
      </w:r>
    </w:p>
    <w:p/>
    <w:p/>
    <w:p>
      <w:pPr>
        <w:jc w:val="center"/>
      </w:pPr>
      <w:r>
        <w:rPr>
          <w:rFonts w:ascii="Times New Roman" w:hAnsi="Times New Roman"/>
          <w:b/>
          <w:sz w:val="24"/>
        </w:rPr>
        <w:t>SEPTEMBER, 2026</w:t>
      </w:r>
    </w:p>
    <w:p>
      <w:r>
        <w:br w:type="page"/>
      </w:r>
    </w:p>
    <w:p>
      <w:pPr>
        <w:pStyle w:val="Heading1"/>
        <w:jc w:val="center"/>
      </w:pPr>
      <w:r>
        <w:t>DECLARATION</w:t>
      </w:r>
    </w:p>
    <w:p>
      <w:pPr>
        <w:spacing w:after="120"/>
        <w:ind w:firstLine="720"/>
        <w:jc w:val="both"/>
      </w:pPr>
      <w:r>
        <w:rPr>
          <w:rFonts w:ascii="Times New Roman" w:hAnsi="Times New Roman"/>
          <w:b w:val="0"/>
          <w:i w:val="0"/>
          <w:sz w:val="24"/>
        </w:rPr>
        <w:t>We hereby declare that, except where specific references have been duly acknowledged, the work presented in this report is the result of our own research and effort. This project has not been submitted, in whole or in part, for any other degree elsewhere.</w:t>
      </w:r>
    </w:p>
    <w:p/>
    <w:p>
      <w:pPr>
        <w:spacing w:after="120"/>
        <w:jc w:val="both"/>
      </w:pPr>
      <w:r>
        <w:rPr>
          <w:rFonts w:ascii="Times New Roman" w:hAnsi="Times New Roman"/>
          <w:b w:val="0"/>
          <w:i w:val="0"/>
          <w:sz w:val="24"/>
        </w:rPr>
        <w:t>Signature: ………………………….    Date: …………………..</w:t>
      </w:r>
    </w:p>
    <w:p>
      <w:pPr>
        <w:spacing w:after="120"/>
        <w:jc w:val="both"/>
      </w:pPr>
      <w:r>
        <w:rPr>
          <w:rFonts w:ascii="Times New Roman" w:hAnsi="Times New Roman"/>
          <w:b w:val="0"/>
          <w:i w:val="0"/>
          <w:sz w:val="24"/>
        </w:rPr>
        <w:t>Candidate</w:t>
      </w:r>
    </w:p>
    <w:p/>
    <w:p>
      <w:pPr>
        <w:spacing w:after="120"/>
        <w:jc w:val="both"/>
      </w:pPr>
      <w:r>
        <w:rPr>
          <w:rFonts w:ascii="Times New Roman" w:hAnsi="Times New Roman"/>
          <w:b w:val="0"/>
          <w:i w:val="0"/>
          <w:sz w:val="24"/>
        </w:rPr>
        <w:t>Signature: ………………………….    Date: …………………..</w:t>
      </w:r>
    </w:p>
    <w:p>
      <w:pPr>
        <w:spacing w:after="120"/>
        <w:jc w:val="both"/>
      </w:pPr>
      <w:r>
        <w:rPr>
          <w:rFonts w:ascii="Times New Roman" w:hAnsi="Times New Roman"/>
          <w:b w:val="0"/>
          <w:i w:val="0"/>
          <w:sz w:val="24"/>
        </w:rPr>
        <w:t>Project Supervisor</w:t>
      </w:r>
    </w:p>
    <w:p>
      <w:r>
        <w:br w:type="page"/>
      </w:r>
    </w:p>
    <w:p>
      <w:pPr>
        <w:pStyle w:val="Heading1"/>
        <w:jc w:val="center"/>
      </w:pPr>
      <w:r>
        <w:t>DEDICATION</w:t>
      </w:r>
    </w:p>
    <w:p>
      <w:pPr>
        <w:spacing w:after="120"/>
        <w:ind w:firstLine="720"/>
        <w:jc w:val="both"/>
      </w:pPr>
      <w:r>
        <w:rPr>
          <w:rFonts w:ascii="Times New Roman" w:hAnsi="Times New Roman"/>
          <w:b w:val="0"/>
          <w:i w:val="0"/>
          <w:sz w:val="24"/>
        </w:rPr>
        <w:t>This project is dedicated to everyone working quietly to make healthcare in Ghana more connected, more secure, and more humane. The clinicians who navigate fragmented systems every day, the patients who must repeat their histories at every new hospital, and the system administrators who keep the lights on — this work is for you.</w:t>
      </w:r>
    </w:p>
    <w:p>
      <w:r>
        <w:br w:type="page"/>
      </w:r>
    </w:p>
    <w:p>
      <w:pPr>
        <w:pStyle w:val="Heading1"/>
        <w:jc w:val="center"/>
      </w:pPr>
      <w:r>
        <w:t>ACKNOWLEDGEMENTS</w:t>
      </w:r>
    </w:p>
    <w:p>
      <w:pPr>
        <w:spacing w:after="120"/>
        <w:ind w:firstLine="720"/>
        <w:jc w:val="both"/>
      </w:pPr>
      <w:r>
        <w:rPr>
          <w:rFonts w:ascii="Times New Roman" w:hAnsi="Times New Roman"/>
          <w:b w:val="0"/>
          <w:i w:val="0"/>
          <w:sz w:val="24"/>
        </w:rPr>
        <w:t>We are deeply grateful to our supervisor for the patient guidance, critical scrutiny, and willingness to engage with the harder architectural questions — not just the ones with clean answers. The security design in particular was shaped by those conversations. Our thanks extend also to the Department of Computer Science at KNUST for the computing resources and the intellectual environment that made this work possible.</w:t>
      </w:r>
    </w:p>
    <w:p>
      <w:pPr>
        <w:spacing w:after="120"/>
        <w:ind w:firstLine="720"/>
        <w:jc w:val="both"/>
      </w:pPr>
      <w:r>
        <w:rPr>
          <w:rFonts w:ascii="Times New Roman" w:hAnsi="Times New Roman"/>
          <w:b w:val="0"/>
          <w:i w:val="0"/>
          <w:sz w:val="24"/>
        </w:rPr>
        <w:t>We are also grateful to the open-source communities behind Django, React, PostgreSQL, and the cryptography library. The shoulders this project stands on are broad.</w:t>
      </w:r>
    </w:p>
    <w:p>
      <w:r>
        <w:br w:type="page"/>
      </w:r>
    </w:p>
    <w:p>
      <w:pPr>
        <w:pStyle w:val="Heading1"/>
        <w:jc w:val="center"/>
      </w:pPr>
      <w:r>
        <w:t>ABSTRACT</w:t>
      </w:r>
    </w:p>
    <w:p>
      <w:pPr>
        <w:spacing w:after="120"/>
        <w:ind w:firstLine="720"/>
        <w:jc w:val="both"/>
      </w:pPr>
      <w:r>
        <w:rPr>
          <w:rFonts w:ascii="Times New Roman" w:hAnsi="Times New Roman"/>
          <w:b w:val="0"/>
          <w:i w:val="0"/>
          <w:sz w:val="24"/>
        </w:rPr>
        <w:t>Fragmented patient records are a structural problem in Ghana's healthcare system. When a patient presents at Hospital B after receiving treatment at Hospital A, clinicians typically have no access to prior history — a gap that leads to duplicated diagnostics, medication errors, and avoidable delays in care. This project presents mEd, a secure, centralised Electronic Medical Records (EMR) system designed to address exactly this problem at the inter-hospital level.</w:t>
      </w:r>
    </w:p>
    <w:p>
      <w:pPr>
        <w:spacing w:after="120"/>
        <w:ind w:firstLine="720"/>
        <w:jc w:val="both"/>
      </w:pPr>
      <w:r>
        <w:rPr>
          <w:rFonts w:ascii="Times New Roman" w:hAnsi="Times New Roman"/>
          <w:b w:val="0"/>
          <w:i w:val="0"/>
          <w:sz w:val="24"/>
        </w:rPr>
        <w:t>The system maintains a central patient registry identified by a Universal National Health ID (NHID), and allows authorised clinicians at participating hospitals to access patient histories across facility boundaries under strict, cryptographically enforced access controls. All Personally Identifiable Information (PII) and Protected Health Information (PHI) is encrypted at the application layer using Fernet (AES-128-CBC + HMAC-SHA256), meaning the database itself never stores plaintext patient data. Patient search over encrypted fields is achieved through HMAC-SHA256 blind indexing, enabling O(log n) exact-match lookups without full-table decryption.</w:t>
      </w:r>
    </w:p>
    <w:p>
      <w:pPr>
        <w:spacing w:after="120"/>
        <w:ind w:firstLine="720"/>
        <w:jc w:val="both"/>
      </w:pPr>
      <w:r>
        <w:rPr>
          <w:rFonts w:ascii="Times New Roman" w:hAnsi="Times New Roman"/>
          <w:b w:val="0"/>
          <w:i w:val="0"/>
          <w:sz w:val="24"/>
        </w:rPr>
        <w:t>Access control is enforced through a six-role RBAC system, an automated TreatmentRelationship model that grants cross-hospital access upon encounter creation, and a Break-the-Glass emergency override workflow requiring a clinical justification of at least twenty characters and optional TOTP re-verification. Every system interaction — from patient views to cross-hospital access denials — generates an immutable AuditLog entry in a SHA-256 cryptographic hash chain that can be verified for tampering at any time. A WORM (Write-Once-Read-Many) archival pattern preserves chain continuity across pruning cycles.</w:t>
      </w:r>
    </w:p>
    <w:p>
      <w:pPr>
        <w:spacing w:after="120"/>
        <w:ind w:firstLine="720"/>
        <w:jc w:val="both"/>
      </w:pPr>
      <w:r>
        <w:rPr>
          <w:rFonts w:ascii="Times New Roman" w:hAnsi="Times New Roman"/>
          <w:b w:val="0"/>
          <w:i w:val="0"/>
          <w:sz w:val="24"/>
        </w:rPr>
        <w:t>The system also integrates Two-Factor Authentication (TOTP) via RFC 6238, a grounded AI clinical decision-support assistant powered by Google Gemini 2.0 Flash or a locally hosted Ollama model (zero PHI egress), and read-only FHIR R4 interoperability endpoints with ICD-10, SNOMED CT, LOINC, and RxNorm coding.</w:t>
      </w:r>
    </w:p>
    <w:p>
      <w:pPr>
        <w:spacing w:after="120"/>
        <w:ind w:firstLine="720"/>
        <w:jc w:val="both"/>
      </w:pPr>
      <w:r>
        <w:rPr>
          <w:rFonts w:ascii="Times New Roman" w:hAnsi="Times New Roman"/>
          <w:b w:val="0"/>
          <w:i w:val="0"/>
          <w:sz w:val="24"/>
        </w:rPr>
        <w:t>The backend is implemented in Python 3.13 / Django 4.2, backed by serverless PostgreSQL (Neon), with a React 18 / Mantine v7 single-page frontend. An automated test suite of 418 tests (391 backend Pytest + 27 frontend Vitest) systematically validates RBAC boundaries, encryption roundtrips, blind-index correctness, and Break-the-Glass flows. The system is containerised with Docker and deployable on Render or any standard PaaS platform.</w:t>
      </w:r>
    </w:p>
    <w:p>
      <w:pPr>
        <w:spacing w:after="120"/>
        <w:ind w:firstLine="720"/>
        <w:jc w:val="both"/>
      </w:pPr>
      <w:r>
        <w:rPr>
          <w:rFonts w:ascii="Times New Roman" w:hAnsi="Times New Roman"/>
          <w:b w:val="0"/>
          <w:i w:val="0"/>
          <w:sz w:val="24"/>
        </w:rPr>
        <w:t>Known architectural limitations — including partial-name search entropy trade-offs, audit log concurrency bottlenecks, and digital signature gaps under Ghana's Electronic Transactions Act 2008 (Act 772) — are documented honestly with production mitigation roadmaps.</w:t>
      </w:r>
    </w:p>
    <w:p>
      <w:pPr>
        <w:spacing w:after="120"/>
        <w:ind w:firstLine="720"/>
        <w:jc w:val="both"/>
      </w:pPr>
      <w:r>
        <w:rPr>
          <w:rFonts w:ascii="Times New Roman" w:hAnsi="Times New Roman"/>
          <w:b w:val="0"/>
          <w:i w:val="0"/>
          <w:sz w:val="24"/>
        </w:rPr>
        <w:t>Keywords: Electronic Medical Records, Inter-Hospital Interoperability, Field-Level Encryption, RBAC, Break-the-Glass, FHIR R4, TOTP MFA, Blind Indexing, SHA-256 Hash Chain, Grounded AI, Django, React, Ghana Healthcare.</w:t>
      </w:r>
    </w:p>
    <w:p>
      <w:r>
        <w:br w:type="page"/>
      </w:r>
    </w:p>
    <w:p>
      <w:pPr>
        <w:pStyle w:val="Heading1"/>
        <w:jc w:val="center"/>
      </w:pPr>
      <w:r>
        <w:t>TABLE OF CONTENTS</w:t>
      </w:r>
    </w:p>
    <w:p>
      <w:pPr>
        <w:spacing w:after="40"/>
      </w:pPr>
      <w:r>
        <w:rPr>
          <w:rFonts w:ascii="Times New Roman" w:hAnsi="Times New Roman"/>
          <w:sz w:val="22"/>
        </w:rPr>
        <w:t>Declaration...........................................................ii</w:t>
      </w:r>
    </w:p>
    <w:p>
      <w:pPr>
        <w:spacing w:after="40"/>
      </w:pPr>
      <w:r>
        <w:rPr>
          <w:rFonts w:ascii="Times New Roman" w:hAnsi="Times New Roman"/>
          <w:sz w:val="22"/>
        </w:rPr>
        <w:t>Dedication............................................................iii</w:t>
      </w:r>
    </w:p>
    <w:p>
      <w:pPr>
        <w:spacing w:after="40"/>
      </w:pPr>
      <w:r>
        <w:rPr>
          <w:rFonts w:ascii="Times New Roman" w:hAnsi="Times New Roman"/>
          <w:sz w:val="22"/>
        </w:rPr>
        <w:t>Acknowledgements......................................................iv</w:t>
      </w:r>
    </w:p>
    <w:p>
      <w:pPr>
        <w:spacing w:after="40"/>
      </w:pPr>
      <w:r>
        <w:rPr>
          <w:rFonts w:ascii="Times New Roman" w:hAnsi="Times New Roman"/>
          <w:sz w:val="22"/>
        </w:rPr>
        <w:t>Abstract..............................................................v</w:t>
      </w:r>
    </w:p>
    <w:p>
      <w:pPr>
        <w:spacing w:after="40"/>
      </w:pPr>
      <w:r>
        <w:rPr>
          <w:rFonts w:ascii="Times New Roman" w:hAnsi="Times New Roman"/>
          <w:sz w:val="22"/>
        </w:rPr>
        <w:t>Table of Contents.....................................................vi</w:t>
      </w:r>
    </w:p>
    <w:p>
      <w:pPr>
        <w:spacing w:after="40"/>
      </w:pPr>
      <w:r>
        <w:rPr>
          <w:rFonts w:ascii="Times New Roman" w:hAnsi="Times New Roman"/>
          <w:sz w:val="22"/>
        </w:rPr>
        <w:t>List of Tables........................................................vii</w:t>
      </w:r>
    </w:p>
    <w:p>
      <w:pPr>
        <w:spacing w:after="40"/>
      </w:pPr>
      <w:r>
        <w:rPr>
          <w:rFonts w:ascii="Times New Roman" w:hAnsi="Times New Roman"/>
          <w:sz w:val="22"/>
        </w:rPr>
        <w:t>List of Figures.......................................................viii</w:t>
      </w:r>
    </w:p>
    <w:p>
      <w:pPr>
        <w:spacing w:after="40"/>
      </w:pPr>
      <w:r>
        <w:rPr>
          <w:rFonts w:ascii="Times New Roman" w:hAnsi="Times New Roman"/>
          <w:sz w:val="22"/>
        </w:rPr>
        <w:t>CHAPTER 1 — Introduction and Background...............................1</w:t>
      </w:r>
    </w:p>
    <w:p>
      <w:pPr>
        <w:spacing w:after="40"/>
      </w:pPr>
      <w:r>
        <w:rPr>
          <w:rFonts w:ascii="Times New Roman" w:hAnsi="Times New Roman"/>
          <w:sz w:val="22"/>
        </w:rPr>
        <w:t xml:space="preserve">   1.1 Introduction...................................................1</w:t>
      </w:r>
    </w:p>
    <w:p>
      <w:pPr>
        <w:spacing w:after="40"/>
      </w:pPr>
      <w:r>
        <w:rPr>
          <w:rFonts w:ascii="Times New Roman" w:hAnsi="Times New Roman"/>
          <w:sz w:val="22"/>
        </w:rPr>
        <w:t xml:space="preserve">   1.2 Problem Statement..............................................2</w:t>
      </w:r>
    </w:p>
    <w:p>
      <w:pPr>
        <w:spacing w:after="40"/>
      </w:pPr>
      <w:r>
        <w:rPr>
          <w:rFonts w:ascii="Times New Roman" w:hAnsi="Times New Roman"/>
          <w:sz w:val="22"/>
        </w:rPr>
        <w:t xml:space="preserve">   1.3 Aim of the Project.............................................3</w:t>
      </w:r>
    </w:p>
    <w:p>
      <w:pPr>
        <w:spacing w:after="40"/>
      </w:pPr>
      <w:r>
        <w:rPr>
          <w:rFonts w:ascii="Times New Roman" w:hAnsi="Times New Roman"/>
          <w:sz w:val="22"/>
        </w:rPr>
        <w:t xml:space="preserve">   1.4 Specific Objectives............................................3</w:t>
      </w:r>
    </w:p>
    <w:p>
      <w:pPr>
        <w:spacing w:after="40"/>
      </w:pPr>
      <w:r>
        <w:rPr>
          <w:rFonts w:ascii="Times New Roman" w:hAnsi="Times New Roman"/>
          <w:sz w:val="22"/>
        </w:rPr>
        <w:t xml:space="preserve">   1.5 Project Scope..................................................4</w:t>
      </w:r>
    </w:p>
    <w:p>
      <w:pPr>
        <w:spacing w:after="40"/>
      </w:pPr>
      <w:r>
        <w:rPr>
          <w:rFonts w:ascii="Times New Roman" w:hAnsi="Times New Roman"/>
          <w:sz w:val="22"/>
        </w:rPr>
        <w:t xml:space="preserve">   1.6 Motivation.....................................................4</w:t>
      </w:r>
    </w:p>
    <w:p>
      <w:pPr>
        <w:spacing w:after="40"/>
      </w:pPr>
      <w:r>
        <w:rPr>
          <w:rFonts w:ascii="Times New Roman" w:hAnsi="Times New Roman"/>
          <w:sz w:val="22"/>
        </w:rPr>
        <w:t xml:space="preserve">   1.7 Justification..................................................5</w:t>
      </w:r>
    </w:p>
    <w:p>
      <w:pPr>
        <w:spacing w:after="40"/>
      </w:pPr>
      <w:r>
        <w:rPr>
          <w:rFonts w:ascii="Times New Roman" w:hAnsi="Times New Roman"/>
          <w:sz w:val="22"/>
        </w:rPr>
        <w:t xml:space="preserve">   1.8 Project Methodology Overview...................................6</w:t>
      </w:r>
    </w:p>
    <w:p>
      <w:pPr>
        <w:spacing w:after="40"/>
      </w:pPr>
      <w:r>
        <w:rPr>
          <w:rFonts w:ascii="Times New Roman" w:hAnsi="Times New Roman"/>
          <w:sz w:val="22"/>
        </w:rPr>
        <w:t xml:space="preserve">   1.9 Project Deliverables...........................................7</w:t>
      </w:r>
    </w:p>
    <w:p>
      <w:pPr>
        <w:spacing w:after="40"/>
      </w:pPr>
      <w:r>
        <w:rPr>
          <w:rFonts w:ascii="Times New Roman" w:hAnsi="Times New Roman"/>
          <w:sz w:val="22"/>
        </w:rPr>
        <w:t>CHAPTER 2 — Review of Related Systems.................................8</w:t>
      </w:r>
    </w:p>
    <w:p>
      <w:pPr>
        <w:spacing w:after="40"/>
      </w:pPr>
      <w:r>
        <w:rPr>
          <w:rFonts w:ascii="Times New Roman" w:hAnsi="Times New Roman"/>
          <w:sz w:val="22"/>
        </w:rPr>
        <w:t xml:space="preserve">   2.1 Introduction...................................................8</w:t>
      </w:r>
    </w:p>
    <w:p>
      <w:pPr>
        <w:spacing w:after="40"/>
      </w:pPr>
      <w:r>
        <w:rPr>
          <w:rFonts w:ascii="Times New Roman" w:hAnsi="Times New Roman"/>
          <w:sz w:val="22"/>
        </w:rPr>
        <w:t xml:space="preserve">   2.2 Overview of Existing Systems...................................8</w:t>
      </w:r>
    </w:p>
    <w:p>
      <w:pPr>
        <w:spacing w:after="40"/>
      </w:pPr>
      <w:r>
        <w:rPr>
          <w:rFonts w:ascii="Times New Roman" w:hAnsi="Times New Roman"/>
          <w:sz w:val="22"/>
        </w:rPr>
        <w:t xml:space="preserve">   2.3 Comparative Analysis and Gaps..................................12</w:t>
      </w:r>
    </w:p>
    <w:p>
      <w:pPr>
        <w:spacing w:after="40"/>
      </w:pPr>
      <w:r>
        <w:rPr>
          <w:rFonts w:ascii="Times New Roman" w:hAnsi="Times New Roman"/>
          <w:sz w:val="22"/>
        </w:rPr>
        <w:t xml:space="preserve">   2.4 Justification for the Proposed System..........................14</w:t>
      </w:r>
    </w:p>
    <w:p>
      <w:pPr>
        <w:spacing w:after="40"/>
      </w:pPr>
      <w:r>
        <w:rPr>
          <w:rFonts w:ascii="Times New Roman" w:hAnsi="Times New Roman"/>
          <w:sz w:val="22"/>
        </w:rPr>
        <w:t xml:space="preserve">   2.5 Summary........................................................15</w:t>
      </w:r>
    </w:p>
    <w:p>
      <w:pPr>
        <w:spacing w:after="40"/>
      </w:pPr>
      <w:r>
        <w:rPr>
          <w:rFonts w:ascii="Times New Roman" w:hAnsi="Times New Roman"/>
          <w:sz w:val="22"/>
        </w:rPr>
        <w:t>CHAPTER 3 — System Design and Architecture............................16</w:t>
      </w:r>
    </w:p>
    <w:p>
      <w:pPr>
        <w:spacing w:after="40"/>
      </w:pPr>
      <w:r>
        <w:rPr>
          <w:rFonts w:ascii="Times New Roman" w:hAnsi="Times New Roman"/>
          <w:sz w:val="22"/>
        </w:rPr>
        <w:t xml:space="preserve">   3.1 Introduction...................................................16</w:t>
      </w:r>
    </w:p>
    <w:p>
      <w:pPr>
        <w:spacing w:after="40"/>
      </w:pPr>
      <w:r>
        <w:rPr>
          <w:rFonts w:ascii="Times New Roman" w:hAnsi="Times New Roman"/>
          <w:sz w:val="22"/>
        </w:rPr>
        <w:t xml:space="preserve">   3.2 Architecture of the Proposed System............................16</w:t>
      </w:r>
    </w:p>
    <w:p>
      <w:pPr>
        <w:spacing w:after="40"/>
      </w:pPr>
      <w:r>
        <w:rPr>
          <w:rFonts w:ascii="Times New Roman" w:hAnsi="Times New Roman"/>
          <w:sz w:val="22"/>
        </w:rPr>
        <w:t xml:space="preserve">   3.3 Component Descriptions.........................................18</w:t>
      </w:r>
    </w:p>
    <w:p>
      <w:pPr>
        <w:spacing w:after="40"/>
      </w:pPr>
      <w:r>
        <w:rPr>
          <w:rFonts w:ascii="Times New Roman" w:hAnsi="Times New Roman"/>
          <w:sz w:val="22"/>
        </w:rPr>
        <w:t xml:space="preserve">   3.4 Functional Requirements........................................22</w:t>
      </w:r>
    </w:p>
    <w:p>
      <w:pPr>
        <w:spacing w:after="40"/>
      </w:pPr>
      <w:r>
        <w:rPr>
          <w:rFonts w:ascii="Times New Roman" w:hAnsi="Times New Roman"/>
          <w:sz w:val="22"/>
        </w:rPr>
        <w:t xml:space="preserve">   3.5 Non-Functional Requirements....................................25</w:t>
      </w:r>
    </w:p>
    <w:p>
      <w:pPr>
        <w:spacing w:after="40"/>
      </w:pPr>
      <w:r>
        <w:rPr>
          <w:rFonts w:ascii="Times New Roman" w:hAnsi="Times New Roman"/>
          <w:sz w:val="22"/>
        </w:rPr>
        <w:t xml:space="preserve">   3.6 Data Model and Entity-Relationship Design......................27</w:t>
      </w:r>
    </w:p>
    <w:p>
      <w:pPr>
        <w:spacing w:after="40"/>
      </w:pPr>
      <w:r>
        <w:rPr>
          <w:rFonts w:ascii="Times New Roman" w:hAnsi="Times New Roman"/>
          <w:sz w:val="22"/>
        </w:rPr>
        <w:t xml:space="preserve">   3.7 Security Design................................................31</w:t>
      </w:r>
    </w:p>
    <w:p>
      <w:pPr>
        <w:spacing w:after="40"/>
      </w:pPr>
      <w:r>
        <w:rPr>
          <w:rFonts w:ascii="Times New Roman" w:hAnsi="Times New Roman"/>
          <w:sz w:val="22"/>
        </w:rPr>
        <w:t xml:space="preserve">   3.8 Software Process Model.........................................37</w:t>
      </w:r>
    </w:p>
    <w:p>
      <w:pPr>
        <w:spacing w:after="40"/>
      </w:pPr>
      <w:r>
        <w:rPr>
          <w:rFonts w:ascii="Times New Roman" w:hAnsi="Times New Roman"/>
          <w:sz w:val="22"/>
        </w:rPr>
        <w:t xml:space="preserve">   3.9 Development Tools..............................................38</w:t>
      </w:r>
    </w:p>
    <w:p>
      <w:pPr>
        <w:spacing w:after="40"/>
      </w:pPr>
      <w:r>
        <w:rPr>
          <w:rFonts w:ascii="Times New Roman" w:hAnsi="Times New Roman"/>
          <w:sz w:val="22"/>
        </w:rPr>
        <w:t xml:space="preserve">   3.10 UML Diagrams and Process Flows................................40</w:t>
      </w:r>
    </w:p>
    <w:p>
      <w:pPr>
        <w:spacing w:after="40"/>
      </w:pPr>
      <w:r>
        <w:rPr>
          <w:rFonts w:ascii="Times New Roman" w:hAnsi="Times New Roman"/>
          <w:sz w:val="22"/>
        </w:rPr>
        <w:t>CHAPTER 4 — Implementation, Testing, and Results......................44</w:t>
      </w:r>
    </w:p>
    <w:p>
      <w:pPr>
        <w:spacing w:after="40"/>
      </w:pPr>
      <w:r>
        <w:rPr>
          <w:rFonts w:ascii="Times New Roman" w:hAnsi="Times New Roman"/>
          <w:sz w:val="22"/>
        </w:rPr>
        <w:t xml:space="preserve">   4.1 Introduction...................................................44</w:t>
      </w:r>
    </w:p>
    <w:p>
      <w:pPr>
        <w:spacing w:after="40"/>
      </w:pPr>
      <w:r>
        <w:rPr>
          <w:rFonts w:ascii="Times New Roman" w:hAnsi="Times New Roman"/>
          <w:sz w:val="22"/>
        </w:rPr>
        <w:t xml:space="preserve">   4.2 Backend Implementation.........................................44</w:t>
      </w:r>
    </w:p>
    <w:p>
      <w:pPr>
        <w:spacing w:after="40"/>
      </w:pPr>
      <w:r>
        <w:rPr>
          <w:rFonts w:ascii="Times New Roman" w:hAnsi="Times New Roman"/>
          <w:sz w:val="22"/>
        </w:rPr>
        <w:t xml:space="preserve">   4.3 Frontend Implementation........................................52</w:t>
      </w:r>
    </w:p>
    <w:p>
      <w:pPr>
        <w:spacing w:after="40"/>
      </w:pPr>
      <w:r>
        <w:rPr>
          <w:rFonts w:ascii="Times New Roman" w:hAnsi="Times New Roman"/>
          <w:sz w:val="22"/>
        </w:rPr>
        <w:t xml:space="preserve">   4.4 Security Feature Implementation................................56</w:t>
      </w:r>
    </w:p>
    <w:p>
      <w:pPr>
        <w:spacing w:after="40"/>
      </w:pPr>
      <w:r>
        <w:rPr>
          <w:rFonts w:ascii="Times New Roman" w:hAnsi="Times New Roman"/>
          <w:sz w:val="22"/>
        </w:rPr>
        <w:t xml:space="preserve">   4.5 Testing Strategy and Results...................................60</w:t>
      </w:r>
    </w:p>
    <w:p>
      <w:pPr>
        <w:spacing w:after="40"/>
      </w:pPr>
      <w:r>
        <w:rPr>
          <w:rFonts w:ascii="Times New Roman" w:hAnsi="Times New Roman"/>
          <w:sz w:val="22"/>
        </w:rPr>
        <w:t xml:space="preserve">   4.6 System Performance and Evaluation..............................65</w:t>
      </w:r>
    </w:p>
    <w:p>
      <w:pPr>
        <w:spacing w:after="40"/>
      </w:pPr>
      <w:r>
        <w:rPr>
          <w:rFonts w:ascii="Times New Roman" w:hAnsi="Times New Roman"/>
          <w:sz w:val="22"/>
        </w:rPr>
        <w:t>CHAPTER 5 — Findings, Conclusions, and Recommendations................68</w:t>
      </w:r>
    </w:p>
    <w:p>
      <w:pPr>
        <w:spacing w:after="40"/>
      </w:pPr>
      <w:r>
        <w:rPr>
          <w:rFonts w:ascii="Times New Roman" w:hAnsi="Times New Roman"/>
          <w:sz w:val="22"/>
        </w:rPr>
        <w:t xml:space="preserve">   5.1 Introduction...................................................68</w:t>
      </w:r>
    </w:p>
    <w:p>
      <w:pPr>
        <w:spacing w:after="40"/>
      </w:pPr>
      <w:r>
        <w:rPr>
          <w:rFonts w:ascii="Times New Roman" w:hAnsi="Times New Roman"/>
          <w:sz w:val="22"/>
        </w:rPr>
        <w:t xml:space="preserve">   5.2 Summary of Findings............................................68</w:t>
      </w:r>
    </w:p>
    <w:p>
      <w:pPr>
        <w:spacing w:after="40"/>
      </w:pPr>
      <w:r>
        <w:rPr>
          <w:rFonts w:ascii="Times New Roman" w:hAnsi="Times New Roman"/>
          <w:sz w:val="22"/>
        </w:rPr>
        <w:t xml:space="preserve">   5.3 Conclusions....................................................70</w:t>
      </w:r>
    </w:p>
    <w:p>
      <w:pPr>
        <w:spacing w:after="40"/>
      </w:pPr>
      <w:r>
        <w:rPr>
          <w:rFonts w:ascii="Times New Roman" w:hAnsi="Times New Roman"/>
          <w:sz w:val="22"/>
        </w:rPr>
        <w:t xml:space="preserve">   5.4 Challenges Encountered.........................................71</w:t>
      </w:r>
    </w:p>
    <w:p>
      <w:pPr>
        <w:spacing w:after="40"/>
      </w:pPr>
      <w:r>
        <w:rPr>
          <w:rFonts w:ascii="Times New Roman" w:hAnsi="Times New Roman"/>
          <w:sz w:val="22"/>
        </w:rPr>
        <w:t xml:space="preserve">   5.5 Lessons Learned................................................72</w:t>
      </w:r>
    </w:p>
    <w:p>
      <w:pPr>
        <w:spacing w:after="40"/>
      </w:pPr>
      <w:r>
        <w:rPr>
          <w:rFonts w:ascii="Times New Roman" w:hAnsi="Times New Roman"/>
          <w:sz w:val="22"/>
        </w:rPr>
        <w:t xml:space="preserve">   5.6 Novelty of the System..........................................73</w:t>
      </w:r>
    </w:p>
    <w:p>
      <w:pPr>
        <w:spacing w:after="40"/>
      </w:pPr>
      <w:r>
        <w:rPr>
          <w:rFonts w:ascii="Times New Roman" w:hAnsi="Times New Roman"/>
          <w:sz w:val="22"/>
        </w:rPr>
        <w:t xml:space="preserve">   5.7 Known Limitations..............................................74</w:t>
      </w:r>
    </w:p>
    <w:p>
      <w:pPr>
        <w:spacing w:after="40"/>
      </w:pPr>
      <w:r>
        <w:rPr>
          <w:rFonts w:ascii="Times New Roman" w:hAnsi="Times New Roman"/>
          <w:sz w:val="22"/>
        </w:rPr>
        <w:t xml:space="preserve">   5.8 Recommendations for Future Work................................76</w:t>
      </w:r>
    </w:p>
    <w:p>
      <w:pPr>
        <w:spacing w:after="40"/>
      </w:pPr>
      <w:r>
        <w:rPr>
          <w:rFonts w:ascii="Times New Roman" w:hAnsi="Times New Roman"/>
          <w:sz w:val="22"/>
        </w:rPr>
        <w:t>References............................................................78</w:t>
      </w:r>
    </w:p>
    <w:p>
      <w:r>
        <w:br w:type="page"/>
      </w:r>
    </w:p>
    <w:p>
      <w:pPr>
        <w:pStyle w:val="Heading1"/>
        <w:jc w:val="center"/>
      </w:pPr>
      <w:r>
        <w:t>CHAPTER 1</w:t>
      </w:r>
    </w:p>
    <w:p>
      <w:pPr>
        <w:pStyle w:val="Heading1"/>
        <w:jc w:val="center"/>
      </w:pPr>
      <w:r>
        <w:t>INTRODUCTION AND BACKGROUND</w:t>
      </w:r>
    </w:p>
    <w:p>
      <w:pPr>
        <w:pStyle w:val="Heading2"/>
      </w:pPr>
      <w:r>
        <w:t>1.1 Introduction</w:t>
      </w:r>
    </w:p>
    <w:p>
      <w:pPr>
        <w:spacing w:after="120"/>
        <w:ind w:firstLine="720"/>
        <w:jc w:val="both"/>
      </w:pPr>
      <w:r>
        <w:rPr>
          <w:rFonts w:ascii="Times New Roman" w:hAnsi="Times New Roman"/>
          <w:b w:val="0"/>
          <w:i w:val="0"/>
          <w:sz w:val="24"/>
        </w:rPr>
        <w:t>Healthcare systems depend on information. A doctor treating a patient who arrives unconscious and unknown needs to know — and know quickly — what medications that person is on, what allergies they carry, and what conditions were previously diagnosed. In a well-connected system, that information is available. In a fragmented one, it simply is not, and clinical decisions are made in the dark.</w:t>
      </w:r>
    </w:p>
    <w:p>
      <w:pPr>
        <w:spacing w:after="120"/>
        <w:ind w:firstLine="720"/>
        <w:jc w:val="both"/>
      </w:pPr>
      <w:r>
        <w:rPr>
          <w:rFonts w:ascii="Times New Roman" w:hAnsi="Times New Roman"/>
          <w:b w:val="0"/>
          <w:i w:val="0"/>
          <w:sz w:val="24"/>
        </w:rPr>
        <w:t>Ghana's healthcare infrastructure, like that of many developing nations, is characterised by a patchwork of facility-level record systems that rarely communicate with one another. Teaching hospitals, district hospitals, and polyclinics each maintain their own patient records, often in paper form or in stand-alone digital systems that offer no inter-facility data exchange. The consequence is familiar to anyone who has spent time in these settings: patients carry their own histories in their heads, test results are repeated unnecessarily, and clinicians in referral situations must function without the context that should be available to them (Asamoah-Odei, 2014).</w:t>
      </w:r>
    </w:p>
    <w:p>
      <w:pPr>
        <w:spacing w:after="120"/>
        <w:ind w:firstLine="720"/>
        <w:jc w:val="both"/>
      </w:pPr>
      <w:r>
        <w:rPr>
          <w:rFonts w:ascii="Times New Roman" w:hAnsi="Times New Roman"/>
          <w:b w:val="0"/>
          <w:i w:val="0"/>
          <w:sz w:val="24"/>
        </w:rPr>
        <w:t>mEd is an attempt to address this at the system level. It proposes a centralised, secure Electronic Medical Records (EMR) platform that allows patient data to travel safely across hospital boundaries — while keeping that data encrypted, audited, and under strict access control at every step.</w:t>
      </w:r>
    </w:p>
    <w:p>
      <w:pPr>
        <w:pStyle w:val="Heading2"/>
      </w:pPr>
      <w:r>
        <w:t>1.2 Problem Statement</w:t>
      </w:r>
    </w:p>
    <w:p>
      <w:pPr>
        <w:spacing w:after="120"/>
        <w:ind w:firstLine="720"/>
        <w:jc w:val="both"/>
      </w:pPr>
      <w:r>
        <w:rPr>
          <w:rFonts w:ascii="Times New Roman" w:hAnsi="Times New Roman"/>
          <w:b w:val="0"/>
          <w:i w:val="0"/>
          <w:sz w:val="24"/>
        </w:rPr>
        <w:t>The core problem is straightforward: patient records are siloed. When a patient registered at UGMC (University of Ghana Medical Centre) presents at KATH (Komfo Anokye Teaching Hospital) for emergency care, the receiving clinician has no access to that patient's medical history unless the patient can articulate it themselves. In practice, this leads to:</w:t>
      </w:r>
    </w:p>
    <w:p>
      <w:pPr>
        <w:pStyle w:val="ListBullet"/>
      </w:pPr>
      <w:r>
        <w:rPr>
          <w:rFonts w:ascii="Times New Roman" w:hAnsi="Times New Roman"/>
          <w:sz w:val="24"/>
        </w:rPr>
        <w:t>Duplicated diagnostic workups that increase patient cost and delay treatment</w:t>
      </w:r>
    </w:p>
    <w:p>
      <w:pPr>
        <w:pStyle w:val="ListBullet"/>
      </w:pPr>
      <w:r>
        <w:rPr>
          <w:rFonts w:ascii="Times New Roman" w:hAnsi="Times New Roman"/>
          <w:sz w:val="24"/>
        </w:rPr>
        <w:t>Medication errors when prior prescriptions or known drug allergies are unknown</w:t>
      </w:r>
    </w:p>
    <w:p>
      <w:pPr>
        <w:pStyle w:val="ListBullet"/>
      </w:pPr>
      <w:r>
        <w:rPr>
          <w:rFonts w:ascii="Times New Roman" w:hAnsi="Times New Roman"/>
          <w:sz w:val="24"/>
        </w:rPr>
        <w:t>Suboptimal care outcomes, particularly in emergency and trauma settings</w:t>
      </w:r>
    </w:p>
    <w:p>
      <w:pPr>
        <w:pStyle w:val="ListBullet"/>
      </w:pPr>
      <w:r>
        <w:rPr>
          <w:rFonts w:ascii="Times New Roman" w:hAnsi="Times New Roman"/>
          <w:sz w:val="24"/>
        </w:rPr>
        <w:t>Administrative inefficiency from repeated patient registration at each new facility</w:t>
      </w:r>
    </w:p>
    <w:p>
      <w:pPr>
        <w:spacing w:after="120"/>
        <w:ind w:firstLine="720"/>
        <w:jc w:val="both"/>
      </w:pPr>
      <w:r>
        <w:rPr>
          <w:rFonts w:ascii="Times New Roman" w:hAnsi="Times New Roman"/>
          <w:b w:val="0"/>
          <w:i w:val="0"/>
          <w:sz w:val="24"/>
        </w:rPr>
        <w:t>There is also a privacy dimension to the problem. Electronic health records, when centralised, concentrate sensitive data in ways that demand careful security architecture. A system that aggregates patient demographics, diagnoses, and prescriptions in one place becomes a high-value target. Without field-level encryption, role-based access control, and comprehensive audit logging, centralisation of records creates as many risks as it solves.</w:t>
      </w:r>
    </w:p>
    <w:p>
      <w:pPr>
        <w:spacing w:after="120"/>
        <w:ind w:firstLine="720"/>
        <w:jc w:val="both"/>
      </w:pPr>
      <w:r>
        <w:rPr>
          <w:rFonts w:ascii="Times New Roman" w:hAnsi="Times New Roman"/>
          <w:b w:val="0"/>
          <w:i w:val="0"/>
          <w:sz w:val="24"/>
        </w:rPr>
        <w:t>Existing commercial EMR solutions — Epic, OpenMRS, OpenEMR — address parts of this problem but carry substantial barriers to adoption in the Ghanaian public health context: licensing costs, infrastructure requirements, and a lack of local regulatory alignment (Palacio et al., 2013). mEd was designed from the ground up for this specific context, informed by Ghana's Data Protection Act 2012 (Act 843) and the Electronic Transactions Act 2008 (Act 772).</w:t>
      </w:r>
    </w:p>
    <w:p>
      <w:pPr>
        <w:pStyle w:val="Heading2"/>
      </w:pPr>
      <w:r>
        <w:t>1.3 Aim of the Project</w:t>
      </w:r>
    </w:p>
    <w:p>
      <w:pPr>
        <w:spacing w:after="120"/>
        <w:ind w:firstLine="720"/>
        <w:jc w:val="both"/>
      </w:pPr>
      <w:r>
        <w:rPr>
          <w:rFonts w:ascii="Times New Roman" w:hAnsi="Times New Roman"/>
          <w:b w:val="0"/>
          <w:i w:val="0"/>
          <w:sz w:val="24"/>
        </w:rPr>
        <w:t>The aim of this project is to design, implement, and evaluate a secure, centralised inter-hospital Electronic Medical Records system that enables authorised clinical staff at participating hospitals to access and contribute to a shared patient record, while maintaining cryptographic security of patient data, comprehensive tamper-evident audit logging, and compliance with relevant Ghanaian data governance standards.</w:t>
      </w:r>
    </w:p>
    <w:p>
      <w:pPr>
        <w:pStyle w:val="Heading2"/>
      </w:pPr>
      <w:r>
        <w:t>1.4 Specific Objectives</w:t>
      </w:r>
    </w:p>
    <w:p>
      <w:pPr>
        <w:spacing w:after="120"/>
        <w:jc w:val="both"/>
      </w:pPr>
      <w:r>
        <w:rPr>
          <w:rFonts w:ascii="Times New Roman" w:hAnsi="Times New Roman"/>
          <w:b w:val="0"/>
          <w:i w:val="0"/>
          <w:sz w:val="24"/>
        </w:rPr>
        <w:t>The project pursues the following specific objectives:</w:t>
      </w:r>
    </w:p>
    <w:p>
      <w:pPr>
        <w:pStyle w:val="ListNumber"/>
      </w:pPr>
      <w:r>
        <w:rPr>
          <w:rFonts w:ascii="Times New Roman" w:hAnsi="Times New Roman"/>
          <w:sz w:val="24"/>
        </w:rPr>
        <w:t>To design and implement a centralised patient registry using a Universal National Health ID (NHID) as the primary patient identifier across all participating hospitals.</w:t>
      </w:r>
    </w:p>
    <w:p>
      <w:pPr>
        <w:pStyle w:val="ListNumber"/>
      </w:pPr>
      <w:r>
        <w:rPr>
          <w:rFonts w:ascii="Times New Roman" w:hAnsi="Times New Roman"/>
          <w:sz w:val="24"/>
        </w:rPr>
        <w:t>To implement field-level encryption of all Personally Identifiable Information (PII) and Protected Health Information (PHI) using Fernet (AES-128-CBC + HMAC-SHA256) at the application layer, such that the database never stores plaintext patient data.</w:t>
      </w:r>
    </w:p>
    <w:p>
      <w:pPr>
        <w:pStyle w:val="ListNumber"/>
      </w:pPr>
      <w:r>
        <w:rPr>
          <w:rFonts w:ascii="Times New Roman" w:hAnsi="Times New Roman"/>
          <w:sz w:val="24"/>
        </w:rPr>
        <w:t>To design and implement a Role-Based Access Control (RBAC) system with six tiered roles (System Admin, Hospital Admin, Doctor, Nurse, Lab Technician, Receptionist), enforced on both API routes and frontend views.</w:t>
      </w:r>
    </w:p>
    <w:p>
      <w:pPr>
        <w:pStyle w:val="ListNumber"/>
      </w:pPr>
      <w:r>
        <w:rPr>
          <w:rFonts w:ascii="Times New Roman" w:hAnsi="Times New Roman"/>
          <w:sz w:val="24"/>
        </w:rPr>
        <w:t>To implement an inter-hospital access control framework including an automated TreatmentRelationship model and an emergency Break-the-Glass override workflow with audit logging and optional TOTP re-verification.</w:t>
      </w:r>
    </w:p>
    <w:p>
      <w:pPr>
        <w:pStyle w:val="ListNumber"/>
      </w:pPr>
      <w:r>
        <w:rPr>
          <w:rFonts w:ascii="Times New Roman" w:hAnsi="Times New Roman"/>
          <w:sz w:val="24"/>
        </w:rPr>
        <w:t>To build a tamper-evident cryptographic audit log using a SHA-256 hash chain, with database-level immutability triggers and a WORM (Write-Once-Read-Many) archival pattern for long-term chain continuity.</w:t>
      </w:r>
    </w:p>
    <w:p>
      <w:pPr>
        <w:pStyle w:val="ListNumber"/>
      </w:pPr>
      <w:r>
        <w:rPr>
          <w:rFonts w:ascii="Times New Roman" w:hAnsi="Times New Roman"/>
          <w:sz w:val="24"/>
        </w:rPr>
        <w:t>To integrate Two-Factor Authentication (TOTP) for all clinical and administrative roles in production, with QR code setup and single-use recovery codes.</w:t>
      </w:r>
    </w:p>
    <w:p>
      <w:pPr>
        <w:pStyle w:val="ListNumber"/>
      </w:pPr>
      <w:r>
        <w:rPr>
          <w:rFonts w:ascii="Times New Roman" w:hAnsi="Times New Roman"/>
          <w:sz w:val="24"/>
        </w:rPr>
        <w:t>To implement a grounded AI clinical decision-support assistant with prompt-injection defences, citation enforcement, and support for both cloud (Google Gemini 2.0 Flash) and local zero-egress (Ollama) inference.</w:t>
      </w:r>
    </w:p>
    <w:p>
      <w:pPr>
        <w:pStyle w:val="ListNumber"/>
      </w:pPr>
      <w:r>
        <w:rPr>
          <w:rFonts w:ascii="Times New Roman" w:hAnsi="Times New Roman"/>
          <w:sz w:val="24"/>
        </w:rPr>
        <w:t>To expose read-only FHIR R4 interoperability endpoints with ICD-10, SNOMED CT, LOINC, and RxNorm coding for standards-based data exchange.</w:t>
      </w:r>
    </w:p>
    <w:p>
      <w:pPr>
        <w:pStyle w:val="ListNumber"/>
      </w:pPr>
      <w:r>
        <w:rPr>
          <w:rFonts w:ascii="Times New Roman" w:hAnsi="Times New Roman"/>
          <w:sz w:val="24"/>
        </w:rPr>
        <w:t>To validate the system through a comprehensive automated test suite of 418 tests covering RBAC boundaries, encryption roundtrips, blind-index correctness, and emergency access flows.</w:t>
      </w:r>
    </w:p>
    <w:p>
      <w:pPr>
        <w:pStyle w:val="Heading2"/>
      </w:pPr>
      <w:r>
        <w:t>1.5 Project Scope</w:t>
      </w:r>
    </w:p>
    <w:p>
      <w:pPr>
        <w:spacing w:after="120"/>
        <w:ind w:firstLine="720"/>
        <w:jc w:val="both"/>
      </w:pPr>
      <w:r>
        <w:rPr>
          <w:rFonts w:ascii="Times New Roman" w:hAnsi="Times New Roman"/>
          <w:b w:val="0"/>
          <w:i w:val="0"/>
          <w:sz w:val="24"/>
        </w:rPr>
        <w:t>mEd covers the complete clinical workflow from patient registration through encounter creation, diagnosis recording, prescription writing, lab ordering and result entry, vital sign tracking, inter-hospital referrals, staff shift management, and document attachment. The system targets a three-hospital pilot scenario — modelled on UGMC, KATH, and Trust Hospital — but is architecturally extensible to any number of participating facilities.</w:t>
      </w:r>
    </w:p>
    <w:p>
      <w:pPr>
        <w:spacing w:after="120"/>
        <w:ind w:firstLine="720"/>
        <w:jc w:val="both"/>
      </w:pPr>
      <w:r>
        <w:rPr>
          <w:rFonts w:ascii="Times New Roman" w:hAnsi="Times New Roman"/>
          <w:b w:val="0"/>
          <w:i w:val="0"/>
          <w:sz w:val="24"/>
        </w:rPr>
        <w:t>Several items are explicitly out of scope for this version. Patient billing and insurance claims processing, real-time HL7 v2 messaging with external laboratory analyzers, advanced pharmacist dispensing workflows, and SMART on FHIR machine-to-machine authorisation are documented as future work rather than implemented features. The system is an academic prototype and has not undergone formal penetration testing or third-party security certification.</w:t>
      </w:r>
    </w:p>
    <w:p>
      <w:pPr>
        <w:pStyle w:val="Heading2"/>
      </w:pPr>
      <w:r>
        <w:t>1.6 Motivation</w:t>
      </w:r>
    </w:p>
    <w:p>
      <w:pPr>
        <w:spacing w:after="120"/>
        <w:ind w:firstLine="720"/>
        <w:jc w:val="both"/>
      </w:pPr>
      <w:r>
        <w:rPr>
          <w:rFonts w:ascii="Times New Roman" w:hAnsi="Times New Roman"/>
          <w:b w:val="0"/>
          <w:i w:val="0"/>
          <w:sz w:val="24"/>
        </w:rPr>
        <w:t>The motivation for this project is both personal and structural. Ghana's healthcare workforce is already stretched thin. Clinicians should not be spending time tracking down records that should, by any reasonable standard, be available to them. The waste embedded in siloed systems — re-ordered blood tests, repeated imaging, delayed diagnoses — is not abstract. It translates directly into patient outcomes.</w:t>
      </w:r>
    </w:p>
    <w:p>
      <w:pPr>
        <w:spacing w:after="120"/>
        <w:ind w:firstLine="720"/>
        <w:jc w:val="both"/>
      </w:pPr>
      <w:r>
        <w:rPr>
          <w:rFonts w:ascii="Times New Roman" w:hAnsi="Times New Roman"/>
          <w:b w:val="0"/>
          <w:i w:val="0"/>
          <w:sz w:val="24"/>
        </w:rPr>
        <w:t>Beyond that, the security dimension is genuinely interesting. Most EMR systems treat encryption as an infrastructure concern — handled at the database or disk level, where the database administrator still sees plaintext. Application-layer field encryption, where even a compromised database backup reveals nothing without the key, is a stronger model. Making it work alongside searchable fields, encrypted-column queries, and FHIR interoperability is a non-trivial engineering problem worth solving (Hafer and Stein, 2017).</w:t>
      </w:r>
    </w:p>
    <w:p>
      <w:pPr>
        <w:pStyle w:val="Heading2"/>
      </w:pPr>
      <w:r>
        <w:t>1.7 Justification</w:t>
      </w:r>
    </w:p>
    <w:p>
      <w:pPr>
        <w:spacing w:after="120"/>
        <w:ind w:firstLine="720"/>
        <w:jc w:val="both"/>
      </w:pPr>
      <w:r>
        <w:rPr>
          <w:rFonts w:ascii="Times New Roman" w:hAnsi="Times New Roman"/>
          <w:b w:val="0"/>
          <w:i w:val="0"/>
          <w:sz w:val="24"/>
        </w:rPr>
        <w:t>The justification for this project rests on three dimensions. First, there is a clear gap in the existing ecosystem: affordable, locally-relevant, inter-hospital EMR solutions designed specifically for West African public health contexts are scarce. Commercial systems exist but are priced for large North American healthcare networks. Open-source alternatives like OpenMRS address parts of the problem but do not prioritise the specific inter-hospital access control and encryption architecture that the Ghanaian regulatory environment increasingly demands.</w:t>
      </w:r>
    </w:p>
    <w:p>
      <w:pPr>
        <w:spacing w:after="120"/>
        <w:ind w:firstLine="720"/>
        <w:jc w:val="both"/>
      </w:pPr>
      <w:r>
        <w:rPr>
          <w:rFonts w:ascii="Times New Roman" w:hAnsi="Times New Roman"/>
          <w:b w:val="0"/>
          <w:i w:val="0"/>
          <w:sz w:val="24"/>
        </w:rPr>
        <w:t>Second, the technical approach is sound and reproducible. By building on mature, well-audited open-source components — Django, PostgreSQL, the Python cryptography library, React, FHIR.resources — the system avoids the risks of bespoke cryptographic implementation while demonstrating how these components can be composed to meet the specific requirements of a multi-hospital shared record environment.</w:t>
      </w:r>
    </w:p>
    <w:p>
      <w:pPr>
        <w:spacing w:after="120"/>
        <w:ind w:firstLine="720"/>
        <w:jc w:val="both"/>
      </w:pPr>
      <w:r>
        <w:rPr>
          <w:rFonts w:ascii="Times New Roman" w:hAnsi="Times New Roman"/>
          <w:b w:val="0"/>
          <w:i w:val="0"/>
          <w:sz w:val="24"/>
        </w:rPr>
        <w:t>Third, the academic contribution is meaningful. The combination of field-level Fernet encryption, HMAC-SHA256 blind indexing for encrypted search, SHA-256 hash-chained audit logging with WORM archival, and Break-the-Glass emergency access in a single open-source prototype offers a reference implementation that could inform future production deployments in the Ghanaian health sector.</w:t>
      </w:r>
    </w:p>
    <w:p>
      <w:pPr>
        <w:pStyle w:val="Heading2"/>
      </w:pPr>
      <w:r>
        <w:t>1.8 Project Methodology Overview</w:t>
      </w:r>
    </w:p>
    <w:p>
      <w:pPr>
        <w:spacing w:after="120"/>
        <w:ind w:firstLine="720"/>
        <w:jc w:val="both"/>
      </w:pPr>
      <w:r>
        <w:rPr>
          <w:rFonts w:ascii="Times New Roman" w:hAnsi="Times New Roman"/>
          <w:b w:val="0"/>
          <w:i w:val="0"/>
          <w:sz w:val="24"/>
        </w:rPr>
        <w:t>The project adopted an Agile, iterative development methodology. Development proceeded in focused feature sprints: core authentication and encryption first, then the patient registry and access control layer, then clinical records, then the AI assistant and FHIR layer, and finally the audit chain and WORM archival. Each sprint was followed by a test pass and a security review against the STRIDE (Spoofing, Tampering, Repudiation, Information Disclosure, Denial of Service, Elevation of Privilege) threat model.</w:t>
      </w:r>
    </w:p>
    <w:p>
      <w:pPr>
        <w:spacing w:after="120"/>
        <w:ind w:firstLine="720"/>
        <w:jc w:val="both"/>
      </w:pPr>
      <w:r>
        <w:rPr>
          <w:rFonts w:ascii="Times New Roman" w:hAnsi="Times New Roman"/>
          <w:b w:val="0"/>
          <w:i w:val="0"/>
          <w:sz w:val="24"/>
        </w:rPr>
        <w:t>This approach suits a project with evolving security requirements. The break-glass workflow, for example, went through three design iterations as the team worked through the tension between clinical urgency (emergencies should never be blocked by administrative barriers) and auditability (every emergency access must be logged and justified). A waterfall model would have forced that design decision at the outset; the iterative approach allowed it to settle through implementation experience.</w:t>
      </w:r>
    </w:p>
    <w:p>
      <w:pPr>
        <w:pStyle w:val="Heading2"/>
      </w:pPr>
      <w:r>
        <w:t>1.9 Project Deliverables</w:t>
      </w:r>
    </w:p>
    <w:p>
      <w:pPr>
        <w:spacing w:after="120"/>
        <w:jc w:val="both"/>
      </w:pPr>
      <w:r>
        <w:rPr>
          <w:rFonts w:ascii="Times New Roman" w:hAnsi="Times New Roman"/>
          <w:b w:val="0"/>
          <w:i w:val="0"/>
          <w:sz w:val="24"/>
        </w:rPr>
        <w:t>The following deliverables were produced:</w:t>
      </w:r>
    </w:p>
    <w:p>
      <w:pPr>
        <w:pStyle w:val="ListNumber"/>
      </w:pPr>
      <w:r>
        <w:rPr>
          <w:rFonts w:ascii="Times New Roman" w:hAnsi="Times New Roman"/>
          <w:sz w:val="24"/>
        </w:rPr>
        <w:t>A fully functional, containerised mEd EMR web application with backend and frontend components.</w:t>
      </w:r>
    </w:p>
    <w:p>
      <w:pPr>
        <w:pStyle w:val="ListNumber"/>
      </w:pPr>
      <w:r>
        <w:rPr>
          <w:rFonts w:ascii="Times New Roman" w:hAnsi="Times New Roman"/>
          <w:sz w:val="24"/>
        </w:rPr>
        <w:t>Field-level encrypted patient registry with Universal NHID and HMAC-SHA256 blind indexing.</w:t>
      </w:r>
    </w:p>
    <w:p>
      <w:pPr>
        <w:pStyle w:val="ListNumber"/>
      </w:pPr>
      <w:r>
        <w:rPr>
          <w:rFonts w:ascii="Times New Roman" w:hAnsi="Times New Roman"/>
          <w:sz w:val="24"/>
        </w:rPr>
        <w:t>Six-role RBAC system enforced at both API and frontend layers.</w:t>
      </w:r>
    </w:p>
    <w:p>
      <w:pPr>
        <w:pStyle w:val="ListNumber"/>
      </w:pPr>
      <w:r>
        <w:rPr>
          <w:rFonts w:ascii="Times New Roman" w:hAnsi="Times New Roman"/>
          <w:sz w:val="24"/>
        </w:rPr>
        <w:t>Inter-hospital access control with TreatmentRelationship automation and Break-the-Glass workflow.</w:t>
      </w:r>
    </w:p>
    <w:p>
      <w:pPr>
        <w:pStyle w:val="ListNumber"/>
      </w:pPr>
      <w:r>
        <w:rPr>
          <w:rFonts w:ascii="Times New Roman" w:hAnsi="Times New Roman"/>
          <w:sz w:val="24"/>
        </w:rPr>
        <w:t>SHA-256 tamper-evident audit log hash chain with WORM archival.</w:t>
      </w:r>
    </w:p>
    <w:p>
      <w:pPr>
        <w:pStyle w:val="ListNumber"/>
      </w:pPr>
      <w:r>
        <w:rPr>
          <w:rFonts w:ascii="Times New Roman" w:hAnsi="Times New Roman"/>
          <w:sz w:val="24"/>
        </w:rPr>
        <w:t>TOTP Two-Factor Authentication with QR setup and recovery codes.</w:t>
      </w:r>
    </w:p>
    <w:p>
      <w:pPr>
        <w:pStyle w:val="ListNumber"/>
      </w:pPr>
      <w:r>
        <w:rPr>
          <w:rFonts w:ascii="Times New Roman" w:hAnsi="Times New Roman"/>
          <w:sz w:val="24"/>
        </w:rPr>
        <w:t>Grounded AI clinical decision-support assistant (Gemini 2.0 Flash / Ollama).</w:t>
      </w:r>
    </w:p>
    <w:p>
      <w:pPr>
        <w:pStyle w:val="ListNumber"/>
      </w:pPr>
      <w:r>
        <w:rPr>
          <w:rFonts w:ascii="Times New Roman" w:hAnsi="Times New Roman"/>
          <w:sz w:val="24"/>
        </w:rPr>
        <w:t>FHIR R4 read-only interoperability endpoints.</w:t>
      </w:r>
    </w:p>
    <w:p>
      <w:pPr>
        <w:pStyle w:val="ListNumber"/>
      </w:pPr>
      <w:r>
        <w:rPr>
          <w:rFonts w:ascii="Times New Roman" w:hAnsi="Times New Roman"/>
          <w:sz w:val="24"/>
        </w:rPr>
        <w:t>418-test automated test suite (391 backend + 27 frontend).</w:t>
      </w:r>
    </w:p>
    <w:p>
      <w:pPr>
        <w:pStyle w:val="ListNumber"/>
      </w:pPr>
      <w:r>
        <w:rPr>
          <w:rFonts w:ascii="Times New Roman" w:hAnsi="Times New Roman"/>
          <w:sz w:val="24"/>
        </w:rPr>
        <w:t>Complete academic documentation (this report) and extended technical documentation in the docs/ directory.</w:t>
      </w:r>
    </w:p>
    <w:p>
      <w:pPr>
        <w:pStyle w:val="ListNumber"/>
      </w:pPr>
      <w:r>
        <w:rPr>
          <w:rFonts w:ascii="Times New Roman" w:hAnsi="Times New Roman"/>
          <w:sz w:val="24"/>
        </w:rPr>
        <w:t>Docker containerisation configuration for reproducible deployment.</w:t>
      </w:r>
    </w:p>
    <w:p>
      <w:r>
        <w:br w:type="page"/>
      </w:r>
    </w:p>
    <w:p>
      <w:pPr>
        <w:pStyle w:val="Heading1"/>
        <w:jc w:val="center"/>
      </w:pPr>
      <w:r>
        <w:t>CHAPTER 2</w:t>
      </w:r>
    </w:p>
    <w:p>
      <w:pPr>
        <w:pStyle w:val="Heading1"/>
        <w:jc w:val="center"/>
      </w:pPr>
      <w:r>
        <w:t>REVIEW OF RELATED SYSTEMS</w:t>
      </w:r>
    </w:p>
    <w:p>
      <w:pPr>
        <w:pStyle w:val="Heading2"/>
      </w:pPr>
      <w:r>
        <w:t>2.1 Introduction</w:t>
      </w:r>
    </w:p>
    <w:p>
      <w:pPr>
        <w:spacing w:after="120"/>
        <w:ind w:firstLine="720"/>
        <w:jc w:val="both"/>
      </w:pPr>
      <w:r>
        <w:rPr>
          <w:rFonts w:ascii="Times New Roman" w:hAnsi="Times New Roman"/>
          <w:b w:val="0"/>
          <w:i w:val="0"/>
          <w:sz w:val="24"/>
        </w:rPr>
        <w:t>This chapter examines existing EMR and health information exchange systems, evaluates their strengths and limitations in the context of inter-hospital record sharing in Ghana, and identifies the specific gaps that justify the design choices made in mEd. The review is structured around four representative systems: Epic, OpenMRS, OpenEMR, and the Ghana Health Service's own eHealth infrastructure.</w:t>
      </w:r>
    </w:p>
    <w:p>
      <w:pPr>
        <w:pStyle w:val="Heading2"/>
      </w:pPr>
      <w:r>
        <w:t>2.2 Overview of Existing Systems</w:t>
      </w:r>
    </w:p>
    <w:p>
      <w:pPr>
        <w:pStyle w:val="Heading3"/>
      </w:pPr>
      <w:r>
        <w:t>2.2.1 Epic Systems</w:t>
      </w:r>
    </w:p>
    <w:p>
      <w:pPr>
        <w:spacing w:after="120"/>
        <w:ind w:firstLine="720"/>
        <w:jc w:val="both"/>
      </w:pPr>
      <w:r>
        <w:rPr>
          <w:rFonts w:ascii="Times New Roman" w:hAnsi="Times New Roman"/>
          <w:b w:val="0"/>
          <w:i w:val="0"/>
          <w:sz w:val="24"/>
        </w:rPr>
        <w:t>Epic is the dominant commercial EMR platform in the United States and has significant international deployments. Its interoperability framework, Care Everywhere, allows patient records to be shared across Epic-connected institutions via a network of clinical data repositories. The security model is sophisticated: role-based access control, audit logging, and HIPAA-compliant encryption are all well-implemented (McAlearney et al., 2015).</w:t>
      </w:r>
    </w:p>
    <w:p>
      <w:pPr>
        <w:spacing w:after="120"/>
        <w:ind w:firstLine="720"/>
        <w:jc w:val="both"/>
      </w:pPr>
      <w:r>
        <w:rPr>
          <w:rFonts w:ascii="Times New Roman" w:hAnsi="Times New Roman"/>
          <w:b w:val="0"/>
          <w:i w:val="0"/>
          <w:sz w:val="24"/>
        </w:rPr>
        <w:t>However, Epic is effectively inaccessible to the Ghanaian public health sector. Licensing costs run into the millions of US dollars for a medium-sized hospital, and the infrastructure requirements — dedicated servers, specialised IT staff, high-bandwidth network connectivity — are simply not realistic for district hospitals or regional facilities outside major urban centres. The system is also deeply North American in its design assumptions, with limited support for local coding systems or regulatory frameworks.</w:t>
      </w:r>
    </w:p>
    <w:p>
      <w:pPr>
        <w:pStyle w:val="Heading3"/>
      </w:pPr>
      <w:r>
        <w:t>2.2.2 OpenMRS</w:t>
      </w:r>
    </w:p>
    <w:p>
      <w:pPr>
        <w:spacing w:after="120"/>
        <w:ind w:firstLine="720"/>
        <w:jc w:val="both"/>
      </w:pPr>
      <w:r>
        <w:rPr>
          <w:rFonts w:ascii="Times New Roman" w:hAnsi="Times New Roman"/>
          <w:b w:val="0"/>
          <w:i w:val="0"/>
          <w:sz w:val="24"/>
        </w:rPr>
        <w:t>OpenMRS is an open-source medical records platform widely deployed across sub-Saharan Africa, including in Ghana. It was designed specifically for resource-limited settings and has been used in HIV treatment programmes, maternal health initiatives, and district hospital deployments. The system is modular, extensible, and free to deploy.</w:t>
      </w:r>
    </w:p>
    <w:p>
      <w:pPr>
        <w:spacing w:after="120"/>
        <w:ind w:firstLine="720"/>
        <w:jc w:val="both"/>
      </w:pPr>
      <w:r>
        <w:rPr>
          <w:rFonts w:ascii="Times New Roman" w:hAnsi="Times New Roman"/>
          <w:b w:val="0"/>
          <w:i w:val="0"/>
          <w:sz w:val="24"/>
        </w:rPr>
        <w:t>The limitations are architectural. OpenMRS is primarily designed as a single-facility system. Inter-hospital record sharing is not a first-class feature — it requires additional modules and custom integration work that few deployments have achieved at scale. Encryption is handled at the database level rather than the application layer, meaning a database administrator with direct SQL access sees patient data in plaintext (Seebregts et al., 2009). For a centralised multi-hospital system, this is a significant security gap.</w:t>
      </w:r>
    </w:p>
    <w:p>
      <w:pPr>
        <w:pStyle w:val="Heading3"/>
      </w:pPr>
      <w:r>
        <w:t>2.2.3 OpenEMR</w:t>
      </w:r>
    </w:p>
    <w:p>
      <w:pPr>
        <w:spacing w:after="120"/>
        <w:ind w:firstLine="720"/>
        <w:jc w:val="both"/>
      </w:pPr>
      <w:r>
        <w:rPr>
          <w:rFonts w:ascii="Times New Roman" w:hAnsi="Times New Roman"/>
          <w:b w:val="0"/>
          <w:i w:val="0"/>
          <w:sz w:val="24"/>
        </w:rPr>
        <w:t>OpenEMR is another widely-used open-source EMR system with a broader feature set than OpenMRS, including billing, scheduling, and a patient portal. It is more suited to clinic and practice settings than hospital inpatient environments. Like OpenMRS, it is fundamentally a single-facility system, and its security model does not include application-layer field encryption or cryptographic audit log integrity. The system has had documented security vulnerabilities in past versions (Palacio et al., 2013).</w:t>
      </w:r>
    </w:p>
    <w:p>
      <w:pPr>
        <w:pStyle w:val="Heading3"/>
      </w:pPr>
      <w:r>
        <w:t>2.2.4 Ghana Health Service eHealth Infrastructure</w:t>
      </w:r>
    </w:p>
    <w:p>
      <w:pPr>
        <w:spacing w:after="120"/>
        <w:ind w:firstLine="720"/>
        <w:jc w:val="both"/>
      </w:pPr>
      <w:r>
        <w:rPr>
          <w:rFonts w:ascii="Times New Roman" w:hAnsi="Times New Roman"/>
          <w:b w:val="0"/>
          <w:i w:val="0"/>
          <w:sz w:val="24"/>
        </w:rPr>
        <w:t>The Ghana Health Service has made efforts toward a national health information system, including the District Health Information Management System (DHIMS2) — a web-based aggregate reporting tool used for routine health data. DHIMS2, however, collects aggregate statistics rather than individual patient records. It does not provide patient-level clinical history, cannot be queried by a clinician to access a specific patient's prior diagnoses, and does not support the kind of real-time inter-facility clinical data exchange that mEd addresses (Ghana Health Service, 2019).</w:t>
      </w:r>
    </w:p>
    <w:p>
      <w:pPr>
        <w:pStyle w:val="Heading2"/>
      </w:pPr>
      <w:r>
        <w:t>2.3 Comparative Analysis and Gaps</w:t>
      </w:r>
    </w:p>
    <w:p>
      <w:pPr>
        <w:spacing w:after="120"/>
        <w:ind w:firstLine="720"/>
        <w:jc w:val="both"/>
      </w:pPr>
      <w:r>
        <w:rPr>
          <w:rFonts w:ascii="Times New Roman" w:hAnsi="Times New Roman"/>
          <w:b w:val="0"/>
          <w:i w:val="0"/>
          <w:sz w:val="24"/>
        </w:rPr>
        <w:t>The table below summarises the key dimensions across the reviewed systems and mEd.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Dimension</w:t>
            </w:r>
          </w:p>
        </w:tc>
        <w:tc>
          <w:tcPr>
            <w:tcW w:type="dxa" w:w="1440"/>
          </w:tcPr>
          <w:p>
            <w:pPr>
              <w:jc w:val="center"/>
            </w:pPr>
            <w:r>
              <w:rPr>
                <w:b/>
                <w:sz w:val="20"/>
              </w:rPr>
              <w:t>Epic</w:t>
            </w:r>
          </w:p>
        </w:tc>
        <w:tc>
          <w:tcPr>
            <w:tcW w:type="dxa" w:w="1440"/>
          </w:tcPr>
          <w:p>
            <w:pPr>
              <w:jc w:val="center"/>
            </w:pPr>
            <w:r>
              <w:rPr>
                <w:b/>
                <w:sz w:val="20"/>
              </w:rPr>
              <w:t>OpenMRS</w:t>
            </w:r>
          </w:p>
        </w:tc>
        <w:tc>
          <w:tcPr>
            <w:tcW w:type="dxa" w:w="1440"/>
          </w:tcPr>
          <w:p>
            <w:pPr>
              <w:jc w:val="center"/>
            </w:pPr>
            <w:r>
              <w:rPr>
                <w:b/>
                <w:sz w:val="20"/>
              </w:rPr>
              <w:t>OpenEMR</w:t>
            </w:r>
          </w:p>
        </w:tc>
        <w:tc>
          <w:tcPr>
            <w:tcW w:type="dxa" w:w="1440"/>
          </w:tcPr>
          <w:p>
            <w:pPr>
              <w:jc w:val="center"/>
            </w:pPr>
            <w:r>
              <w:rPr>
                <w:b/>
                <w:sz w:val="20"/>
              </w:rPr>
              <w:t>GHS DHIMS2</w:t>
            </w:r>
          </w:p>
        </w:tc>
        <w:tc>
          <w:tcPr>
            <w:tcW w:type="dxa" w:w="1440"/>
          </w:tcPr>
          <w:p>
            <w:pPr>
              <w:jc w:val="center"/>
            </w:pPr>
            <w:r>
              <w:rPr>
                <w:b/>
                <w:sz w:val="20"/>
              </w:rPr>
              <w:t>mEd</w:t>
            </w:r>
          </w:p>
        </w:tc>
      </w:tr>
      <w:tr>
        <w:tc>
          <w:tcPr>
            <w:tcW w:type="dxa" w:w="1440"/>
          </w:tcPr>
          <w:p>
            <w:r>
              <w:rPr>
                <w:sz w:val="20"/>
              </w:rPr>
              <w:t>Field-level PII encryption</w:t>
            </w:r>
          </w:p>
        </w:tc>
        <w:tc>
          <w:tcPr>
            <w:tcW w:type="dxa" w:w="1440"/>
          </w:tcPr>
          <w:p>
            <w:r>
              <w:rPr>
                <w:sz w:val="20"/>
              </w:rPr>
              <w:t>No</w:t>
            </w:r>
          </w:p>
        </w:tc>
        <w:tc>
          <w:tcPr>
            <w:tcW w:type="dxa" w:w="1440"/>
          </w:tcPr>
          <w:p>
            <w:r>
              <w:rPr>
                <w:sz w:val="20"/>
              </w:rPr>
              <w:t>No</w:t>
            </w:r>
          </w:p>
        </w:tc>
        <w:tc>
          <w:tcPr>
            <w:tcW w:type="dxa" w:w="1440"/>
          </w:tcPr>
          <w:p>
            <w:r>
              <w:rPr>
                <w:sz w:val="20"/>
              </w:rPr>
              <w:t>No</w:t>
            </w:r>
          </w:p>
        </w:tc>
        <w:tc>
          <w:tcPr>
            <w:tcW w:type="dxa" w:w="1440"/>
          </w:tcPr>
          <w:p>
            <w:r>
              <w:rPr>
                <w:sz w:val="20"/>
              </w:rPr>
              <w:t>N/A</w:t>
            </w:r>
          </w:p>
        </w:tc>
        <w:tc>
          <w:tcPr>
            <w:tcW w:type="dxa" w:w="1440"/>
          </w:tcPr>
          <w:p>
            <w:r>
              <w:rPr>
                <w:sz w:val="20"/>
              </w:rPr>
              <w:t>Yes (Fernet AES-128)</w:t>
            </w:r>
          </w:p>
        </w:tc>
      </w:tr>
      <w:tr>
        <w:tc>
          <w:tcPr>
            <w:tcW w:type="dxa" w:w="1440"/>
          </w:tcPr>
          <w:p>
            <w:r>
              <w:rPr>
                <w:sz w:val="20"/>
              </w:rPr>
              <w:t>Inter-hospital access control</w:t>
            </w:r>
          </w:p>
        </w:tc>
        <w:tc>
          <w:tcPr>
            <w:tcW w:type="dxa" w:w="1440"/>
          </w:tcPr>
          <w:p>
            <w:r>
              <w:rPr>
                <w:sz w:val="20"/>
              </w:rPr>
              <w:t>Yes (costly)</w:t>
            </w:r>
          </w:p>
        </w:tc>
        <w:tc>
          <w:tcPr>
            <w:tcW w:type="dxa" w:w="1440"/>
          </w:tcPr>
          <w:p>
            <w:r>
              <w:rPr>
                <w:sz w:val="20"/>
              </w:rPr>
              <w:t>Limited</w:t>
            </w:r>
          </w:p>
        </w:tc>
        <w:tc>
          <w:tcPr>
            <w:tcW w:type="dxa" w:w="1440"/>
          </w:tcPr>
          <w:p>
            <w:r>
              <w:rPr>
                <w:sz w:val="20"/>
              </w:rPr>
              <w:t>No</w:t>
            </w:r>
          </w:p>
        </w:tc>
        <w:tc>
          <w:tcPr>
            <w:tcW w:type="dxa" w:w="1440"/>
          </w:tcPr>
          <w:p>
            <w:r>
              <w:rPr>
                <w:sz w:val="20"/>
              </w:rPr>
              <w:t>No</w:t>
            </w:r>
          </w:p>
        </w:tc>
        <w:tc>
          <w:tcPr>
            <w:tcW w:type="dxa" w:w="1440"/>
          </w:tcPr>
          <w:p>
            <w:r>
              <w:rPr>
                <w:sz w:val="20"/>
              </w:rPr>
              <w:t>Yes (RBAC + Break-Glass)</w:t>
            </w:r>
          </w:p>
        </w:tc>
      </w:tr>
      <w:tr>
        <w:tc>
          <w:tcPr>
            <w:tcW w:type="dxa" w:w="1440"/>
          </w:tcPr>
          <w:p>
            <w:r>
              <w:rPr>
                <w:sz w:val="20"/>
              </w:rPr>
              <w:t>Cryptographic audit chain</w:t>
            </w:r>
          </w:p>
        </w:tc>
        <w:tc>
          <w:tcPr>
            <w:tcW w:type="dxa" w:w="1440"/>
          </w:tcPr>
          <w:p>
            <w:r>
              <w:rPr>
                <w:sz w:val="20"/>
              </w:rPr>
              <w:t>No</w:t>
            </w:r>
          </w:p>
        </w:tc>
        <w:tc>
          <w:tcPr>
            <w:tcW w:type="dxa" w:w="1440"/>
          </w:tcPr>
          <w:p>
            <w:r>
              <w:rPr>
                <w:sz w:val="20"/>
              </w:rPr>
              <w:t>No</w:t>
            </w:r>
          </w:p>
        </w:tc>
        <w:tc>
          <w:tcPr>
            <w:tcW w:type="dxa" w:w="1440"/>
          </w:tcPr>
          <w:p>
            <w:r>
              <w:rPr>
                <w:sz w:val="20"/>
              </w:rPr>
              <w:t>No</w:t>
            </w:r>
          </w:p>
        </w:tc>
        <w:tc>
          <w:tcPr>
            <w:tcW w:type="dxa" w:w="1440"/>
          </w:tcPr>
          <w:p>
            <w:r>
              <w:rPr>
                <w:sz w:val="20"/>
              </w:rPr>
              <w:t>No</w:t>
            </w:r>
          </w:p>
        </w:tc>
        <w:tc>
          <w:tcPr>
            <w:tcW w:type="dxa" w:w="1440"/>
          </w:tcPr>
          <w:p>
            <w:r>
              <w:rPr>
                <w:sz w:val="20"/>
              </w:rPr>
              <w:t>Yes (SHA-256 chain)</w:t>
            </w:r>
          </w:p>
        </w:tc>
      </w:tr>
      <w:tr>
        <w:tc>
          <w:tcPr>
            <w:tcW w:type="dxa" w:w="1440"/>
          </w:tcPr>
          <w:p>
            <w:r>
              <w:rPr>
                <w:sz w:val="20"/>
              </w:rPr>
              <w:t>TOTP MFA enforcement</w:t>
            </w:r>
          </w:p>
        </w:tc>
        <w:tc>
          <w:tcPr>
            <w:tcW w:type="dxa" w:w="1440"/>
          </w:tcPr>
          <w:p>
            <w:r>
              <w:rPr>
                <w:sz w:val="20"/>
              </w:rPr>
              <w:t>Yes</w:t>
            </w:r>
          </w:p>
        </w:tc>
        <w:tc>
          <w:tcPr>
            <w:tcW w:type="dxa" w:w="1440"/>
          </w:tcPr>
          <w:p>
            <w:r>
              <w:rPr>
                <w:sz w:val="20"/>
              </w:rPr>
              <w:t>No</w:t>
            </w:r>
          </w:p>
        </w:tc>
        <w:tc>
          <w:tcPr>
            <w:tcW w:type="dxa" w:w="1440"/>
          </w:tcPr>
          <w:p>
            <w:r>
              <w:rPr>
                <w:sz w:val="20"/>
              </w:rPr>
              <w:t>Partial</w:t>
            </w:r>
          </w:p>
        </w:tc>
        <w:tc>
          <w:tcPr>
            <w:tcW w:type="dxa" w:w="1440"/>
          </w:tcPr>
          <w:p>
            <w:r>
              <w:rPr>
                <w:sz w:val="20"/>
              </w:rPr>
              <w:t>No</w:t>
            </w:r>
          </w:p>
        </w:tc>
        <w:tc>
          <w:tcPr>
            <w:tcW w:type="dxa" w:w="1440"/>
          </w:tcPr>
          <w:p>
            <w:r>
              <w:rPr>
                <w:sz w:val="20"/>
              </w:rPr>
              <w:t>Yes (RFC 6238)</w:t>
            </w:r>
          </w:p>
        </w:tc>
      </w:tr>
      <w:tr>
        <w:tc>
          <w:tcPr>
            <w:tcW w:type="dxa" w:w="1440"/>
          </w:tcPr>
          <w:p>
            <w:r>
              <w:rPr>
                <w:sz w:val="20"/>
              </w:rPr>
              <w:t>FHIR R4 interoperability</w:t>
            </w:r>
          </w:p>
        </w:tc>
        <w:tc>
          <w:tcPr>
            <w:tcW w:type="dxa" w:w="1440"/>
          </w:tcPr>
          <w:p>
            <w:r>
              <w:rPr>
                <w:sz w:val="20"/>
              </w:rPr>
              <w:t>Yes</w:t>
            </w:r>
          </w:p>
        </w:tc>
        <w:tc>
          <w:tcPr>
            <w:tcW w:type="dxa" w:w="1440"/>
          </w:tcPr>
          <w:p>
            <w:r>
              <w:rPr>
                <w:sz w:val="20"/>
              </w:rPr>
              <w:t>Partial</w:t>
            </w:r>
          </w:p>
        </w:tc>
        <w:tc>
          <w:tcPr>
            <w:tcW w:type="dxa" w:w="1440"/>
          </w:tcPr>
          <w:p>
            <w:r>
              <w:rPr>
                <w:sz w:val="20"/>
              </w:rPr>
              <w:t>Partial</w:t>
            </w:r>
          </w:p>
        </w:tc>
        <w:tc>
          <w:tcPr>
            <w:tcW w:type="dxa" w:w="1440"/>
          </w:tcPr>
          <w:p>
            <w:r>
              <w:rPr>
                <w:sz w:val="20"/>
              </w:rPr>
              <w:t>No</w:t>
            </w:r>
          </w:p>
        </w:tc>
        <w:tc>
          <w:tcPr>
            <w:tcW w:type="dxa" w:w="1440"/>
          </w:tcPr>
          <w:p>
            <w:r>
              <w:rPr>
                <w:sz w:val="20"/>
              </w:rPr>
              <w:t>Yes (read-only)</w:t>
            </w:r>
          </w:p>
        </w:tc>
      </w:tr>
      <w:tr>
        <w:tc>
          <w:tcPr>
            <w:tcW w:type="dxa" w:w="1440"/>
          </w:tcPr>
          <w:p>
            <w:r>
              <w:rPr>
                <w:sz w:val="20"/>
              </w:rPr>
              <w:t>Free/open-source</w:t>
            </w:r>
          </w:p>
        </w:tc>
        <w:tc>
          <w:tcPr>
            <w:tcW w:type="dxa" w:w="1440"/>
          </w:tcPr>
          <w:p>
            <w:r>
              <w:rPr>
                <w:sz w:val="20"/>
              </w:rPr>
              <w:t>No</w:t>
            </w:r>
          </w:p>
        </w:tc>
        <w:tc>
          <w:tcPr>
            <w:tcW w:type="dxa" w:w="1440"/>
          </w:tcPr>
          <w:p>
            <w:r>
              <w:rPr>
                <w:sz w:val="20"/>
              </w:rPr>
              <w:t>Yes</w:t>
            </w:r>
          </w:p>
        </w:tc>
        <w:tc>
          <w:tcPr>
            <w:tcW w:type="dxa" w:w="1440"/>
          </w:tcPr>
          <w:p>
            <w:r>
              <w:rPr>
                <w:sz w:val="20"/>
              </w:rPr>
              <w:t>Yes</w:t>
            </w:r>
          </w:p>
        </w:tc>
        <w:tc>
          <w:tcPr>
            <w:tcW w:type="dxa" w:w="1440"/>
          </w:tcPr>
          <w:p>
            <w:r>
              <w:rPr>
                <w:sz w:val="20"/>
              </w:rPr>
              <w:t>Yes</w:t>
            </w:r>
          </w:p>
        </w:tc>
        <w:tc>
          <w:tcPr>
            <w:tcW w:type="dxa" w:w="1440"/>
          </w:tcPr>
          <w:p>
            <w:r>
              <w:rPr>
                <w:sz w:val="20"/>
              </w:rPr>
              <w:t>Yes (MIT)</w:t>
            </w:r>
          </w:p>
        </w:tc>
      </w:tr>
      <w:tr>
        <w:tc>
          <w:tcPr>
            <w:tcW w:type="dxa" w:w="1440"/>
          </w:tcPr>
          <w:p>
            <w:r>
              <w:rPr>
                <w:sz w:val="20"/>
              </w:rPr>
              <w:t>Designed for Ghana context</w:t>
            </w:r>
          </w:p>
        </w:tc>
        <w:tc>
          <w:tcPr>
            <w:tcW w:type="dxa" w:w="1440"/>
          </w:tcPr>
          <w:p>
            <w:r>
              <w:rPr>
                <w:sz w:val="20"/>
              </w:rPr>
              <w:t>No</w:t>
            </w:r>
          </w:p>
        </w:tc>
        <w:tc>
          <w:tcPr>
            <w:tcW w:type="dxa" w:w="1440"/>
          </w:tcPr>
          <w:p>
            <w:r>
              <w:rPr>
                <w:sz w:val="20"/>
              </w:rPr>
              <w:t>Partial</w:t>
            </w:r>
          </w:p>
        </w:tc>
        <w:tc>
          <w:tcPr>
            <w:tcW w:type="dxa" w:w="1440"/>
          </w:tcPr>
          <w:p>
            <w:r>
              <w:rPr>
                <w:sz w:val="20"/>
              </w:rPr>
              <w:t>No</w:t>
            </w:r>
          </w:p>
        </w:tc>
        <w:tc>
          <w:tcPr>
            <w:tcW w:type="dxa" w:w="1440"/>
          </w:tcPr>
          <w:p>
            <w:r>
              <w:rPr>
                <w:sz w:val="20"/>
              </w:rPr>
              <w:t>Yes (aggregate only)</w:t>
            </w:r>
          </w:p>
        </w:tc>
        <w:tc>
          <w:tcPr>
            <w:tcW w:type="dxa" w:w="1440"/>
          </w:tcPr>
          <w:p>
            <w:r>
              <w:rPr>
                <w:sz w:val="20"/>
              </w:rPr>
              <w:t>Yes</w:t>
            </w:r>
          </w:p>
        </w:tc>
      </w:tr>
      <w:tr>
        <w:tc>
          <w:tcPr>
            <w:tcW w:type="dxa" w:w="1440"/>
          </w:tcPr>
          <w:p>
            <w:r>
              <w:rPr>
                <w:sz w:val="20"/>
              </w:rPr>
              <w:t>Grounded AI decision support</w:t>
            </w:r>
          </w:p>
        </w:tc>
        <w:tc>
          <w:tcPr>
            <w:tcW w:type="dxa" w:w="1440"/>
          </w:tcPr>
          <w:p>
            <w:r>
              <w:rPr>
                <w:sz w:val="20"/>
              </w:rPr>
              <w:t>Partial</w:t>
            </w:r>
          </w:p>
        </w:tc>
        <w:tc>
          <w:tcPr>
            <w:tcW w:type="dxa" w:w="1440"/>
          </w:tcPr>
          <w:p>
            <w:r>
              <w:rPr>
                <w:sz w:val="20"/>
              </w:rPr>
              <w:t>No</w:t>
            </w:r>
          </w:p>
        </w:tc>
        <w:tc>
          <w:tcPr>
            <w:tcW w:type="dxa" w:w="1440"/>
          </w:tcPr>
          <w:p>
            <w:r>
              <w:rPr>
                <w:sz w:val="20"/>
              </w:rPr>
              <w:t>No</w:t>
            </w:r>
          </w:p>
        </w:tc>
        <w:tc>
          <w:tcPr>
            <w:tcW w:type="dxa" w:w="1440"/>
          </w:tcPr>
          <w:p>
            <w:r>
              <w:rPr>
                <w:sz w:val="20"/>
              </w:rPr>
              <w:t>No</w:t>
            </w:r>
          </w:p>
        </w:tc>
        <w:tc>
          <w:tcPr>
            <w:tcW w:type="dxa" w:w="1440"/>
          </w:tcPr>
          <w:p>
            <w:r>
              <w:rPr>
                <w:sz w:val="20"/>
              </w:rPr>
              <w:t>Yes (Gemini/Ollama)</w:t>
            </w:r>
          </w:p>
        </w:tc>
      </w:tr>
    </w:tbl>
    <w:p/>
    <w:p>
      <w:pPr>
        <w:spacing w:after="120"/>
        <w:ind w:firstLine="720"/>
        <w:jc w:val="both"/>
      </w:pPr>
      <w:r>
        <w:rPr>
          <w:rFonts w:ascii="Times New Roman" w:hAnsi="Times New Roman"/>
          <w:b w:val="0"/>
          <w:i w:val="0"/>
          <w:sz w:val="24"/>
        </w:rPr>
        <w:t>The gaps are clear. No existing system that is open-source, deployable in the Ghanaian context, and designed for inter-hospital clinical record sharing also implements application-layer field-level encryption, a cryptographic audit hash chain, and a formal Break-the-Glass emergency access workflow. mEd was built to fill precisely this combination of gaps.</w:t>
      </w:r>
    </w:p>
    <w:p>
      <w:pPr>
        <w:pStyle w:val="Heading2"/>
      </w:pPr>
      <w:r>
        <w:t>2.4 Justification for the Proposed System</w:t>
      </w:r>
    </w:p>
    <w:p>
      <w:pPr>
        <w:spacing w:after="120"/>
        <w:ind w:firstLine="720"/>
        <w:jc w:val="both"/>
      </w:pPr>
      <w:r>
        <w:rPr>
          <w:rFonts w:ascii="Times New Roman" w:hAnsi="Times New Roman"/>
          <w:b w:val="0"/>
          <w:i w:val="0"/>
          <w:sz w:val="24"/>
        </w:rPr>
        <w:t>The case for mEd rests on what the alternatives cannot provide together. Epic offers the security model but not the cost profile. OpenMRS offers the cost profile but not the security model or the inter-hospital architecture. GHS DHIMS2 serves the aggregate reporting function but provides nothing at the individual patient clinical record level. None of them implement the specific combination of field-level Fernet encryption, blind-index search over encrypted fields, SHA-256 hash-chained audit logging, and Break-the-Glass emergency access that Ghana's regulatory environment and clinical workflows actually require.</w:t>
      </w:r>
    </w:p>
    <w:p>
      <w:pPr>
        <w:pStyle w:val="Heading2"/>
      </w:pPr>
      <w:r>
        <w:t>2.5 Summary</w:t>
      </w:r>
    </w:p>
    <w:p>
      <w:pPr>
        <w:spacing w:after="120"/>
        <w:ind w:firstLine="720"/>
        <w:jc w:val="both"/>
      </w:pPr>
      <w:r>
        <w:rPr>
          <w:rFonts w:ascii="Times New Roman" w:hAnsi="Times New Roman"/>
          <w:b w:val="0"/>
          <w:i w:val="0"/>
          <w:sz w:val="24"/>
        </w:rPr>
        <w:t>The review establishes that while EMR and health information systems exist and are in use in the Ghanaian context, none adequately addresses the specific problem of secure, inter-hospital patient record sharing with cryptographic data protection. The proposed mEd system occupies a genuine gap — technically ambitious but architecturally grounded in well-established open-source components, and designed specifically for the constraints and regulatory requirements of the Ghanaian health sector.</w:t>
      </w:r>
    </w:p>
    <w:p>
      <w:r>
        <w:br w:type="page"/>
      </w:r>
    </w:p>
    <w:p>
      <w:pPr>
        <w:pStyle w:val="Heading1"/>
        <w:jc w:val="center"/>
      </w:pPr>
      <w:r>
        <w:t>CHAPTER 3</w:t>
      </w:r>
    </w:p>
    <w:p>
      <w:pPr>
        <w:pStyle w:val="Heading1"/>
        <w:jc w:val="center"/>
      </w:pPr>
      <w:r>
        <w:t>SYSTEM DESIGN AND ARCHITECTURE</w:t>
      </w:r>
    </w:p>
    <w:p>
      <w:pPr>
        <w:pStyle w:val="Heading2"/>
      </w:pPr>
      <w:r>
        <w:t>3.1 Introduction</w:t>
      </w:r>
    </w:p>
    <w:p>
      <w:pPr>
        <w:spacing w:after="120"/>
        <w:ind w:firstLine="720"/>
        <w:jc w:val="both"/>
      </w:pPr>
      <w:r>
        <w:rPr>
          <w:rFonts w:ascii="Times New Roman" w:hAnsi="Times New Roman"/>
          <w:b w:val="0"/>
          <w:i w:val="0"/>
          <w:sz w:val="24"/>
        </w:rPr>
        <w:t>This chapter describes the architectural design of mEd, covering the overall system structure, component responsibilities, data model, security design, and the software process model used during development. The architecture was shaped by two overriding concerns: clinical usability and cryptographic security. These sometimes pull in opposite directions — the tension between them is most visible in the Break-the-Glass design, the encrypted search trade-offs, and the audit log concurrency model.</w:t>
      </w:r>
    </w:p>
    <w:p>
      <w:pPr>
        <w:pStyle w:val="Heading2"/>
      </w:pPr>
      <w:r>
        <w:t>3.2 Architecture of the Proposed System</w:t>
      </w:r>
    </w:p>
    <w:p>
      <w:pPr>
        <w:spacing w:after="120"/>
        <w:ind w:firstLine="720"/>
        <w:jc w:val="both"/>
      </w:pPr>
      <w:r>
        <w:rPr>
          <w:rFonts w:ascii="Times New Roman" w:hAnsi="Times New Roman"/>
          <w:b w:val="0"/>
          <w:i w:val="0"/>
          <w:sz w:val="24"/>
        </w:rPr>
        <w:t>mEd is a multi-tier web application following a layered architecture. A modern React 18 Single-Page Application (SPA) communicates with a Django 4.2 REST API over HTTPS. The Django backend connects to a serverless PostgreSQL database (Neon) over TLS. A separate server-rendered HTML interface (Bootstrap 5 templates) provides a lightweight fallback for quick administrative operations.</w:t>
      </w:r>
    </w:p>
    <w:p>
      <w:pPr>
        <w:spacing w:after="120"/>
        <w:ind w:firstLine="720"/>
        <w:jc w:val="both"/>
      </w:pPr>
      <w:r>
        <w:rPr>
          <w:rFonts w:ascii="Times New Roman" w:hAnsi="Times New Roman"/>
          <w:b w:val="0"/>
          <w:i w:val="0"/>
          <w:sz w:val="24"/>
        </w:rPr>
        <w:t>The backend is structured as a collection of Django applications, each responsible for a bounded domain: accounts, hospitals, patients, records, access, audit, fhir, ai, scheduling, referrals, shifts, patient_documents, and core. The REST API is modularised under the api/ directory with separate view modules for each domain area. A centralised permissions module (api/permissions.py) and the access/permissions.py access gate form the security enforcement backbone.</w:t>
      </w:r>
    </w:p>
    <w:p>
      <w:pPr>
        <w:pStyle w:val="Heading3"/>
      </w:pPr>
      <w:r>
        <w:t>3.2.1 High-Level Architecture</w:t>
      </w:r>
    </w:p>
    <w:p>
      <w:pPr>
        <w:spacing w:after="120"/>
        <w:ind w:firstLine="720"/>
        <w:jc w:val="both"/>
      </w:pPr>
      <w:r>
        <w:rPr>
          <w:rFonts w:ascii="Times New Roman" w:hAnsi="Times New Roman"/>
          <w:b w:val="0"/>
          <w:i w:val="0"/>
          <w:sz w:val="24"/>
        </w:rPr>
        <w:t>From a 50,000-foot view, the architecture looks like this: clinical users interact with the system through their browser — either via the React SPA or the server-rendered templates. Requests traverse HTTPS to the Django application, which processes them through a middleware stack (security, session, authentication, OTP verification, brute-force lockout, audit, MFA enforcement) before they reach the RBAC layer and the domain logic. All reads and writes pass through the field encryption layer before touching the database. The database stores only ciphertext for PII/PHI fields. The AI assistant service queries the Gemini API or a local Ollama instance depending on configuration, and never forwards raw patient data to external services in production mode.</w:t>
      </w:r>
    </w:p>
    <w:p>
      <w:pPr>
        <w:pStyle w:val="Heading2"/>
      </w:pPr>
      <w:r>
        <w:t>3.3 Component Descriptions</w:t>
      </w:r>
    </w:p>
    <w:p>
      <w:pPr>
        <w:pStyle w:val="Heading3"/>
      </w:pPr>
      <w:r>
        <w:t>3.3.1 accounts — User Management, MFA, and RBAC</w:t>
      </w:r>
    </w:p>
    <w:p>
      <w:pPr>
        <w:spacing w:after="120"/>
        <w:ind w:firstLine="720"/>
        <w:jc w:val="both"/>
      </w:pPr>
      <w:r>
        <w:rPr>
          <w:rFonts w:ascii="Times New Roman" w:hAnsi="Times New Roman"/>
          <w:b w:val="0"/>
          <w:i w:val="0"/>
          <w:sz w:val="24"/>
        </w:rPr>
        <w:t>The accounts application defines the custom User model, the six-role RBAC system, TOTP MFA enrollment and verification, and emergency recovery codes. The User model extends Django's AbstractUser and adds a role field (TextChoices: SYSTEM_ADMIN, HOSPITAL_ADMIN, DOCTOR, NURSE, LAB_TECH, RECEPTIONIST), a hospital foreign key (nullable for SYSTEM_ADMIN), and MFA trust version tracking. The MFAEnforcementMiddleware intercepts every request and redirects unverified clinical users to the MFA verification page when MFA_ENFORCED=True.</w:t>
      </w:r>
    </w:p>
    <w:p>
      <w:pPr>
        <w:pStyle w:val="Heading3"/>
      </w:pPr>
      <w:r>
        <w:t>3.3.2 patients — Patient Registry and EMPI</w:t>
      </w:r>
    </w:p>
    <w:p>
      <w:pPr>
        <w:spacing w:after="120"/>
        <w:ind w:firstLine="720"/>
        <w:jc w:val="both"/>
      </w:pPr>
      <w:r>
        <w:rPr>
          <w:rFonts w:ascii="Times New Roman" w:hAnsi="Times New Roman"/>
          <w:b w:val="0"/>
          <w:i w:val="0"/>
          <w:sz w:val="24"/>
        </w:rPr>
        <w:t>The patients application maintains the central patient registry. Each patient is identified by a Universal National Health ID (NHID) in the format NHID-XXXXXXXX, generated deterministically at registration. All PII fields (first_name, last_name, date_of_birth, national_id, phone, email, address) are stored as Fernet-encrypted ciphertext via EncryptedCharField and EncryptedTextField custom Django field types defined in core/fields.py.</w:t>
      </w:r>
    </w:p>
    <w:p>
      <w:pPr>
        <w:spacing w:after="120"/>
        <w:ind w:firstLine="720"/>
        <w:jc w:val="both"/>
      </w:pPr>
      <w:r>
        <w:rPr>
          <w:rFonts w:ascii="Times New Roman" w:hAnsi="Times New Roman"/>
          <w:b w:val="0"/>
          <w:i w:val="0"/>
          <w:sz w:val="24"/>
        </w:rPr>
        <w:t>Searchability over encrypted fields is achieved through HMAC-SHA256 blind indexing. At save time, the Patient model computes name_hash = HMAC-SHA256(BLIND_INDEX_KEY, 'firstname lastname'.lower()) and national_id_hash = HMAC-SHA256(BLIND_INDEX_KEY, national_id.lower()), storing these as indexed plaintext columns. Search queries compute the same hash and perform an exact-match lookup — O(log n) without decrypting any rows. Partial/substring search uses a second-tier trigram token index (PatientSearchToken) that extends this approach to 3-character substrings, though with documented entropy trade-offs.</w:t>
      </w:r>
    </w:p>
    <w:p>
      <w:pPr>
        <w:spacing w:after="120"/>
        <w:ind w:firstLine="720"/>
        <w:jc w:val="both"/>
      </w:pPr>
      <w:r>
        <w:rPr>
          <w:rFonts w:ascii="Times New Roman" w:hAnsi="Times New Roman"/>
          <w:b w:val="0"/>
          <w:i w:val="0"/>
          <w:sz w:val="24"/>
        </w:rPr>
        <w:t>The Enterprise Master Patient Index (EMPI) module (patients/empi.py) detects probable duplicate patients at registration using a three-tier pipeline: deterministic national ID match via blind index, exact name + DOB match via blind index, and phonetic Soundex fallback. This prevents care-fragmenting duplicate records across facilities.</w:t>
      </w:r>
    </w:p>
    <w:p>
      <w:pPr>
        <w:pStyle w:val="Heading3"/>
      </w:pPr>
      <w:r>
        <w:t>3.3.3 records — Clinical Record Management</w:t>
      </w:r>
    </w:p>
    <w:p>
      <w:pPr>
        <w:spacing w:after="120"/>
        <w:ind w:firstLine="720"/>
        <w:jc w:val="both"/>
      </w:pPr>
      <w:r>
        <w:rPr>
          <w:rFonts w:ascii="Times New Roman" w:hAnsi="Times New Roman"/>
          <w:b w:val="0"/>
          <w:i w:val="0"/>
          <w:sz w:val="24"/>
        </w:rPr>
        <w:t>The records application stores the core clinical data: Encounters, Diagnoses, Prescriptions, Lab Orders, Lab Results, and Vital Signs. An Encounter represents a discrete clinical visit (OPD, IPD, Emergency, Follow-up, Telemedicine). Creating an encounter automatically opens a TreatmentRelationship (managed in the access application), ensuring that the treating clinician retains cross-hospital access for subsequent visits without needing to invoke Break-the-Glass.</w:t>
      </w:r>
    </w:p>
    <w:p>
      <w:pPr>
        <w:spacing w:after="120"/>
        <w:ind w:firstLine="720"/>
        <w:jc w:val="both"/>
      </w:pPr>
      <w:r>
        <w:rPr>
          <w:rFonts w:ascii="Times New Roman" w:hAnsi="Times New Roman"/>
          <w:b w:val="0"/>
          <w:i w:val="0"/>
          <w:sz w:val="24"/>
        </w:rPr>
        <w:t>Clinical text fields (chief_complaint, notes, diagnosis description, drug_name, dosage, frequency, instructions, test_name, result_value) are all encrypted at rest using Fernet. ICD-10 codes, SNOMED CT codes, LOINC codes, and RxNorm codes are stored in plaintext as they are coded identifiers rather than clinical narratives.</w:t>
      </w:r>
    </w:p>
    <w:p>
      <w:pPr>
        <w:pStyle w:val="Heading3"/>
      </w:pPr>
      <w:r>
        <w:t>3.3.4 access — Inter-Hospital Access Control</w:t>
      </w:r>
    </w:p>
    <w:p>
      <w:pPr>
        <w:spacing w:after="120"/>
        <w:ind w:firstLine="720"/>
        <w:jc w:val="both"/>
      </w:pPr>
      <w:r>
        <w:rPr>
          <w:rFonts w:ascii="Times New Roman" w:hAnsi="Times New Roman"/>
          <w:b w:val="0"/>
          <w:i w:val="0"/>
          <w:sz w:val="24"/>
        </w:rPr>
        <w:t>The access application implements the cross-hospital access gate through the can_access_patient(user, patient) function in access/permissions.py. This function evaluates the following priority hierarchy:</w:t>
      </w:r>
    </w:p>
    <w:p>
      <w:pPr>
        <w:pStyle w:val="ListNumber"/>
      </w:pPr>
      <w:r>
        <w:rPr>
          <w:rFonts w:ascii="Times New Roman" w:hAnsi="Times New Roman"/>
          <w:sz w:val="24"/>
        </w:rPr>
        <w:t>SYSTEM_ADMIN: full system-wide access.</w:t>
      </w:r>
    </w:p>
    <w:p>
      <w:pPr>
        <w:pStyle w:val="ListNumber"/>
      </w:pPr>
      <w:r>
        <w:rPr>
          <w:rFonts w:ascii="Times New Roman" w:hAnsi="Times New Roman"/>
          <w:sz w:val="24"/>
        </w:rPr>
        <w:t>Active BreakGlassAccess grant (1-hour TTL): emergency override evaluated before consent, so life-saving care is never blocked by administrative barriers.</w:t>
      </w:r>
    </w:p>
    <w:p>
      <w:pPr>
        <w:pStyle w:val="ListNumber"/>
      </w:pPr>
      <w:r>
        <w:rPr>
          <w:rFonts w:ascii="Times New Roman" w:hAnsi="Times New Roman"/>
          <w:sz w:val="24"/>
        </w:rPr>
        <w:t>Explicitly revoked PatientConsent: blocks access immediately, including from same-hospital clinicians.</w:t>
      </w:r>
    </w:p>
    <w:p>
      <w:pPr>
        <w:pStyle w:val="ListNumber"/>
      </w:pPr>
      <w:r>
        <w:rPr>
          <w:rFonts w:ascii="Times New Roman" w:hAnsi="Times New Roman"/>
          <w:sz w:val="24"/>
        </w:rPr>
        <w:t>Same-hospital access: the clinician's home hospital matches the patient's registering hospital.</w:t>
      </w:r>
    </w:p>
    <w:p>
      <w:pPr>
        <w:pStyle w:val="ListNumber"/>
      </w:pPr>
      <w:r>
        <w:rPr>
          <w:rFonts w:ascii="Times New Roman" w:hAnsi="Times New Roman"/>
          <w:sz w:val="24"/>
        </w:rPr>
        <w:t>Active TreatmentRelationship: an unexpired, active link between clinician and patient.</w:t>
      </w:r>
    </w:p>
    <w:p>
      <w:pPr>
        <w:pStyle w:val="ListNumber"/>
      </w:pPr>
      <w:r>
        <w:rPr>
          <w:rFonts w:ascii="Times New Roman" w:hAnsi="Times New Roman"/>
          <w:sz w:val="24"/>
        </w:rPr>
        <w:t>Active PatientConsent: explicit patient-granted access for the clinician's hospital.</w:t>
      </w:r>
    </w:p>
    <w:p>
      <w:pPr>
        <w:pStyle w:val="ListNumber"/>
      </w:pPr>
      <w:r>
        <w:rPr>
          <w:rFonts w:ascii="Times New Roman" w:hAnsi="Times New Roman"/>
          <w:sz w:val="24"/>
        </w:rPr>
        <w:t>Denied: all other cases fail closed.</w:t>
      </w:r>
    </w:p>
    <w:p>
      <w:pPr>
        <w:spacing w:after="120"/>
        <w:ind w:firstLine="720"/>
        <w:jc w:val="both"/>
      </w:pPr>
      <w:r>
        <w:rPr>
          <w:rFonts w:ascii="Times New Roman" w:hAnsi="Times New Roman"/>
          <w:b w:val="0"/>
          <w:i w:val="0"/>
          <w:sz w:val="24"/>
        </w:rPr>
        <w:t>The TreatmentRelationship model is automatically created when an encounter is opened, and the BreakGlassAccess model is created when a clinician submits a clinical justification (minimum 20 characters) through the Break-the-Glass form. Both models are audited.</w:t>
      </w:r>
    </w:p>
    <w:p>
      <w:pPr>
        <w:pStyle w:val="Heading3"/>
      </w:pPr>
      <w:r>
        <w:t>3.3.5 audit — Immutable Hash-Chained Audit Log</w:t>
      </w:r>
    </w:p>
    <w:p>
      <w:pPr>
        <w:spacing w:after="120"/>
        <w:ind w:firstLine="720"/>
        <w:jc w:val="both"/>
      </w:pPr>
      <w:r>
        <w:rPr>
          <w:rFonts w:ascii="Times New Roman" w:hAnsi="Times New Roman"/>
          <w:b w:val="0"/>
          <w:i w:val="0"/>
          <w:sz w:val="24"/>
        </w:rPr>
        <w:t>The audit application maintains the AuditLog model — an append-only table where every system access, search, record view, and clinical creation generates an entry. The table is made immutable through three complementary mechanisms: Django ORM overrides that raise ValueError on any update or delete attempt; read-only registration in the Django admin; and a PostgreSQL BEFORE UPDATE OR DELETE trigger that blocks mutations directly at the database engine level.</w:t>
      </w:r>
    </w:p>
    <w:p>
      <w:pPr>
        <w:spacing w:after="120"/>
        <w:ind w:firstLine="720"/>
        <w:jc w:val="both"/>
      </w:pPr>
      <w:r>
        <w:rPr>
          <w:rFonts w:ascii="Times New Roman" w:hAnsi="Times New Roman"/>
          <w:b w:val="0"/>
          <w:i w:val="0"/>
          <w:sz w:val="24"/>
        </w:rPr>
        <w:t>Each AuditLog entry includes a SHA-256 hash of its canonical content merged with the previous entry's hash: current_hash = SHA256(prev_hash + canonical_json_fields). This forms a cryptographic hash chain that makes tampering detectable — any modification to a past entry invalidates all subsequent hashes. The chain can be verified at any time with python manage.py verify_audit_chain.</w:t>
      </w:r>
    </w:p>
    <w:p>
      <w:pPr>
        <w:pStyle w:val="Heading3"/>
      </w:pPr>
      <w:r>
        <w:t>3.3.6 fhir — FHIR R4 Interoperability</w:t>
      </w:r>
    </w:p>
    <w:p>
      <w:pPr>
        <w:spacing w:after="120"/>
        <w:ind w:firstLine="720"/>
        <w:jc w:val="both"/>
      </w:pPr>
      <w:r>
        <w:rPr>
          <w:rFonts w:ascii="Times New Roman" w:hAnsi="Times New Roman"/>
          <w:b w:val="0"/>
          <w:i w:val="0"/>
          <w:sz w:val="24"/>
        </w:rPr>
        <w:t>The fhir application exposes read-only FHIR R4 REST endpoints: GET /fhir/Patient/&lt;NHID&gt;/ returns a standard FHIR Patient resource JSON, and GET /fhir/Patient/&lt;NHID&gt;/$everything returns a complete FHIR Bundle combining Patient, Encounters, Conditions, Observations, and MedicationRequests. Standard coding bindings are enforced: ICD-10/SNOMED CT for diagnoses, LOINC for lab results, and RxNorm for prescriptions. FHIR endpoints pass through the same can_access_patient() access gate as the UI, ensuring FHIR is not a bypass path around the inter-hospital access controls.</w:t>
      </w:r>
    </w:p>
    <w:p>
      <w:pPr>
        <w:pStyle w:val="Heading3"/>
      </w:pPr>
      <w:r>
        <w:t>3.3.7 ai — Grounded AI Clinical Decision Support</w:t>
      </w:r>
    </w:p>
    <w:p>
      <w:pPr>
        <w:spacing w:after="120"/>
        <w:ind w:firstLine="720"/>
        <w:jc w:val="both"/>
      </w:pPr>
      <w:r>
        <w:rPr>
          <w:rFonts w:ascii="Times New Roman" w:hAnsi="Times New Roman"/>
          <w:b w:val="0"/>
          <w:i w:val="0"/>
          <w:sz w:val="24"/>
        </w:rPr>
        <w:t>The ai application provides a context-aware clinical inquiry assistant. When a clinician submits a query about a patient, the service synthesises a clinical context from the patient's encounters, diagnoses, prescriptions, lab results, and vital signs, then sends this to either Google Gemini 2.0 Flash or a locally hosted Ollama instance (llama3.1:8b). Prompt guardrails enforce citation of source records (e.g., [Encounter 1], [Vitals 2026-01-15]) and refuse speculative answers not grounded in the patient's actual records. In production (DEBUG=False), the Gemini provider is blocked to prevent PHI egress; only the local Ollama provider is permitted.</w:t>
      </w:r>
    </w:p>
    <w:p>
      <w:pPr>
        <w:pStyle w:val="Heading2"/>
      </w:pPr>
      <w:r>
        <w:t>3.4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ID</w:t>
            </w:r>
          </w:p>
        </w:tc>
        <w:tc>
          <w:tcPr>
            <w:tcW w:type="dxa" w:w="2880"/>
          </w:tcPr>
          <w:p>
            <w:pPr>
              <w:jc w:val="center"/>
            </w:pPr>
            <w:r>
              <w:rPr>
                <w:b/>
                <w:sz w:val="20"/>
              </w:rPr>
              <w:t>Requirement</w:t>
            </w:r>
          </w:p>
        </w:tc>
        <w:tc>
          <w:tcPr>
            <w:tcW w:type="dxa" w:w="2880"/>
          </w:tcPr>
          <w:p>
            <w:pPr>
              <w:jc w:val="center"/>
            </w:pPr>
            <w:r>
              <w:rPr>
                <w:b/>
                <w:sz w:val="20"/>
              </w:rPr>
              <w:t>Priority</w:t>
            </w:r>
          </w:p>
        </w:tc>
      </w:tr>
      <w:tr>
        <w:tc>
          <w:tcPr>
            <w:tcW w:type="dxa" w:w="2880"/>
          </w:tcPr>
          <w:p>
            <w:r>
              <w:rPr>
                <w:sz w:val="20"/>
              </w:rPr>
              <w:t>FR-01</w:t>
            </w:r>
          </w:p>
        </w:tc>
        <w:tc>
          <w:tcPr>
            <w:tcW w:type="dxa" w:w="2880"/>
          </w:tcPr>
          <w:p>
            <w:r>
              <w:rPr>
                <w:sz w:val="20"/>
              </w:rPr>
              <w:t>The system shall maintain a central patient registry identified by a unique National Health ID (NHID).</w:t>
            </w:r>
          </w:p>
        </w:tc>
        <w:tc>
          <w:tcPr>
            <w:tcW w:type="dxa" w:w="2880"/>
          </w:tcPr>
          <w:p>
            <w:r>
              <w:rPr>
                <w:sz w:val="20"/>
              </w:rPr>
              <w:t>Must</w:t>
            </w:r>
          </w:p>
        </w:tc>
      </w:tr>
      <w:tr>
        <w:tc>
          <w:tcPr>
            <w:tcW w:type="dxa" w:w="2880"/>
          </w:tcPr>
          <w:p>
            <w:r>
              <w:rPr>
                <w:sz w:val="20"/>
              </w:rPr>
              <w:t>FR-02</w:t>
            </w:r>
          </w:p>
        </w:tc>
        <w:tc>
          <w:tcPr>
            <w:tcW w:type="dxa" w:w="2880"/>
          </w:tcPr>
          <w:p>
            <w:r>
              <w:rPr>
                <w:sz w:val="20"/>
              </w:rPr>
              <w:t>All PII/PHI shall be encrypted at rest at the field level (Fernet AES-128-CBC).</w:t>
            </w:r>
          </w:p>
        </w:tc>
        <w:tc>
          <w:tcPr>
            <w:tcW w:type="dxa" w:w="2880"/>
          </w:tcPr>
          <w:p>
            <w:r>
              <w:rPr>
                <w:sz w:val="20"/>
              </w:rPr>
              <w:t>Must</w:t>
            </w:r>
          </w:p>
        </w:tc>
      </w:tr>
      <w:tr>
        <w:tc>
          <w:tcPr>
            <w:tcW w:type="dxa" w:w="2880"/>
          </w:tcPr>
          <w:p>
            <w:r>
              <w:rPr>
                <w:sz w:val="20"/>
              </w:rPr>
              <w:t>FR-03</w:t>
            </w:r>
          </w:p>
        </w:tc>
        <w:tc>
          <w:tcPr>
            <w:tcW w:type="dxa" w:w="2880"/>
          </w:tcPr>
          <w:p>
            <w:r>
              <w:rPr>
                <w:sz w:val="20"/>
              </w:rPr>
              <w:t>The system shall support six clinical roles with deny-by-default access.</w:t>
            </w:r>
          </w:p>
        </w:tc>
        <w:tc>
          <w:tcPr>
            <w:tcW w:type="dxa" w:w="2880"/>
          </w:tcPr>
          <w:p>
            <w:r>
              <w:rPr>
                <w:sz w:val="20"/>
              </w:rPr>
              <w:t>Must</w:t>
            </w:r>
          </w:p>
        </w:tc>
      </w:tr>
      <w:tr>
        <w:tc>
          <w:tcPr>
            <w:tcW w:type="dxa" w:w="2880"/>
          </w:tcPr>
          <w:p>
            <w:r>
              <w:rPr>
                <w:sz w:val="20"/>
              </w:rPr>
              <w:t>FR-04</w:t>
            </w:r>
          </w:p>
        </w:tc>
        <w:tc>
          <w:tcPr>
            <w:tcW w:type="dxa" w:w="2880"/>
          </w:tcPr>
          <w:p>
            <w:r>
              <w:rPr>
                <w:sz w:val="20"/>
              </w:rPr>
              <w:t>A clinician may access a patient's record only with an active TreatmentRelationship, a BreakGlassAccess, same-hospital registration, or admin privilege.</w:t>
            </w:r>
          </w:p>
        </w:tc>
        <w:tc>
          <w:tcPr>
            <w:tcW w:type="dxa" w:w="2880"/>
          </w:tcPr>
          <w:p>
            <w:r>
              <w:rPr>
                <w:sz w:val="20"/>
              </w:rPr>
              <w:t>Must</w:t>
            </w:r>
          </w:p>
        </w:tc>
      </w:tr>
      <w:tr>
        <w:tc>
          <w:tcPr>
            <w:tcW w:type="dxa" w:w="2880"/>
          </w:tcPr>
          <w:p>
            <w:r>
              <w:rPr>
                <w:sz w:val="20"/>
              </w:rPr>
              <w:t>FR-05</w:t>
            </w:r>
          </w:p>
        </w:tc>
        <w:tc>
          <w:tcPr>
            <w:tcW w:type="dxa" w:w="2880"/>
          </w:tcPr>
          <w:p>
            <w:r>
              <w:rPr>
                <w:sz w:val="20"/>
              </w:rPr>
              <w:t>Break-the-glass access shall require a non-blank clinical reason, optional re-MFA, and shall be time-boxed to 1 hour and audited.</w:t>
            </w:r>
          </w:p>
        </w:tc>
        <w:tc>
          <w:tcPr>
            <w:tcW w:type="dxa" w:w="2880"/>
          </w:tcPr>
          <w:p>
            <w:r>
              <w:rPr>
                <w:sz w:val="20"/>
              </w:rPr>
              <w:t>Must</w:t>
            </w:r>
          </w:p>
        </w:tc>
      </w:tr>
      <w:tr>
        <w:tc>
          <w:tcPr>
            <w:tcW w:type="dxa" w:w="2880"/>
          </w:tcPr>
          <w:p>
            <w:r>
              <w:rPr>
                <w:sz w:val="20"/>
              </w:rPr>
              <w:t>FR-06</w:t>
            </w:r>
          </w:p>
        </w:tc>
        <w:tc>
          <w:tcPr>
            <w:tcW w:type="dxa" w:w="2880"/>
          </w:tcPr>
          <w:p>
            <w:r>
              <w:rPr>
                <w:sz w:val="20"/>
              </w:rPr>
              <w:t>Every read or write of PHI shall produce one immutable AuditLog entry.</w:t>
            </w:r>
          </w:p>
        </w:tc>
        <w:tc>
          <w:tcPr>
            <w:tcW w:type="dxa" w:w="2880"/>
          </w:tcPr>
          <w:p>
            <w:r>
              <w:rPr>
                <w:sz w:val="20"/>
              </w:rPr>
              <w:t>Must</w:t>
            </w:r>
          </w:p>
        </w:tc>
      </w:tr>
      <w:tr>
        <w:tc>
          <w:tcPr>
            <w:tcW w:type="dxa" w:w="2880"/>
          </w:tcPr>
          <w:p>
            <w:r>
              <w:rPr>
                <w:sz w:val="20"/>
              </w:rPr>
              <w:t>FR-07</w:t>
            </w:r>
          </w:p>
        </w:tc>
        <w:tc>
          <w:tcPr>
            <w:tcW w:type="dxa" w:w="2880"/>
          </w:tcPr>
          <w:p>
            <w:r>
              <w:rPr>
                <w:sz w:val="20"/>
              </w:rPr>
              <w:t>MFA (TOTP) shall be enforced for all clinical and admin roles in production.</w:t>
            </w:r>
          </w:p>
        </w:tc>
        <w:tc>
          <w:tcPr>
            <w:tcW w:type="dxa" w:w="2880"/>
          </w:tcPr>
          <w:p>
            <w:r>
              <w:rPr>
                <w:sz w:val="20"/>
              </w:rPr>
              <w:t>Must</w:t>
            </w:r>
          </w:p>
        </w:tc>
      </w:tr>
      <w:tr>
        <w:tc>
          <w:tcPr>
            <w:tcW w:type="dxa" w:w="2880"/>
          </w:tcPr>
          <w:p>
            <w:r>
              <w:rPr>
                <w:sz w:val="20"/>
              </w:rPr>
              <w:t>FR-08</w:t>
            </w:r>
          </w:p>
        </w:tc>
        <w:tc>
          <w:tcPr>
            <w:tcW w:type="dxa" w:w="2880"/>
          </w:tcPr>
          <w:p>
            <w:r>
              <w:rPr>
                <w:sz w:val="20"/>
              </w:rPr>
              <w:t>The system shall detect probable duplicate patients at registration using EMPI matching.</w:t>
            </w:r>
          </w:p>
        </w:tc>
        <w:tc>
          <w:tcPr>
            <w:tcW w:type="dxa" w:w="2880"/>
          </w:tcPr>
          <w:p>
            <w:r>
              <w:rPr>
                <w:sz w:val="20"/>
              </w:rPr>
              <w:t>Must</w:t>
            </w:r>
          </w:p>
        </w:tc>
      </w:tr>
      <w:tr>
        <w:tc>
          <w:tcPr>
            <w:tcW w:type="dxa" w:w="2880"/>
          </w:tcPr>
          <w:p>
            <w:r>
              <w:rPr>
                <w:sz w:val="20"/>
              </w:rPr>
              <w:t>FR-09</w:t>
            </w:r>
          </w:p>
        </w:tc>
        <w:tc>
          <w:tcPr>
            <w:tcW w:type="dxa" w:w="2880"/>
          </w:tcPr>
          <w:p>
            <w:r>
              <w:rPr>
                <w:sz w:val="20"/>
              </w:rPr>
              <w:t>Diagnoses shall be coded in ICD-10; lab results in LOINC; prescriptions may carry RxNorm codes.</w:t>
            </w:r>
          </w:p>
        </w:tc>
        <w:tc>
          <w:tcPr>
            <w:tcW w:type="dxa" w:w="2880"/>
          </w:tcPr>
          <w:p>
            <w:r>
              <w:rPr>
                <w:sz w:val="20"/>
              </w:rPr>
              <w:t>Should</w:t>
            </w:r>
          </w:p>
        </w:tc>
      </w:tr>
      <w:tr>
        <w:tc>
          <w:tcPr>
            <w:tcW w:type="dxa" w:w="2880"/>
          </w:tcPr>
          <w:p>
            <w:r>
              <w:rPr>
                <w:sz w:val="20"/>
              </w:rPr>
              <w:t>FR-10</w:t>
            </w:r>
          </w:p>
        </w:tc>
        <w:tc>
          <w:tcPr>
            <w:tcW w:type="dxa" w:w="2880"/>
          </w:tcPr>
          <w:p>
            <w:r>
              <w:rPr>
                <w:sz w:val="20"/>
              </w:rPr>
              <w:t>The system shall expose FHIR R4 read endpoints for the Patient resource and $everything bundle.</w:t>
            </w:r>
          </w:p>
        </w:tc>
        <w:tc>
          <w:tcPr>
            <w:tcW w:type="dxa" w:w="2880"/>
          </w:tcPr>
          <w:p>
            <w:r>
              <w:rPr>
                <w:sz w:val="20"/>
              </w:rPr>
              <w:t>Should</w:t>
            </w:r>
          </w:p>
        </w:tc>
      </w:tr>
      <w:tr>
        <w:tc>
          <w:tcPr>
            <w:tcW w:type="dxa" w:w="2880"/>
          </w:tcPr>
          <w:p>
            <w:r>
              <w:rPr>
                <w:sz w:val="20"/>
              </w:rPr>
              <w:t>FR-11</w:t>
            </w:r>
          </w:p>
        </w:tc>
        <w:tc>
          <w:tcPr>
            <w:tcW w:type="dxa" w:w="2880"/>
          </w:tcPr>
          <w:p>
            <w:r>
              <w:rPr>
                <w:sz w:val="20"/>
              </w:rPr>
              <w:t>The audit log shall be tamper-evident via a SHA-256 hash chain.</w:t>
            </w:r>
          </w:p>
        </w:tc>
        <w:tc>
          <w:tcPr>
            <w:tcW w:type="dxa" w:w="2880"/>
          </w:tcPr>
          <w:p>
            <w:r>
              <w:rPr>
                <w:sz w:val="20"/>
              </w:rPr>
              <w:t>Should</w:t>
            </w:r>
          </w:p>
        </w:tc>
      </w:tr>
      <w:tr>
        <w:tc>
          <w:tcPr>
            <w:tcW w:type="dxa" w:w="2880"/>
          </w:tcPr>
          <w:p>
            <w:r>
              <w:rPr>
                <w:sz w:val="20"/>
              </w:rPr>
              <w:t>FR-12</w:t>
            </w:r>
          </w:p>
        </w:tc>
        <w:tc>
          <w:tcPr>
            <w:tcW w:type="dxa" w:w="2880"/>
          </w:tcPr>
          <w:p>
            <w:r>
              <w:rPr>
                <w:sz w:val="20"/>
              </w:rPr>
              <w:t>Creating an encounter shall automatically open a TreatmentRelationship for future access.</w:t>
            </w:r>
          </w:p>
        </w:tc>
        <w:tc>
          <w:tcPr>
            <w:tcW w:type="dxa" w:w="2880"/>
          </w:tcPr>
          <w:p>
            <w:r>
              <w:rPr>
                <w:sz w:val="20"/>
              </w:rPr>
              <w:t>Must</w:t>
            </w:r>
          </w:p>
        </w:tc>
      </w:tr>
    </w:tbl>
    <w:p/>
    <w:p>
      <w:pPr>
        <w:pStyle w:val="Heading2"/>
      </w:pPr>
      <w:r>
        <w:t>3.5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Attribute</w:t>
            </w:r>
          </w:p>
        </w:tc>
        <w:tc>
          <w:tcPr>
            <w:tcW w:type="dxa" w:w="2880"/>
          </w:tcPr>
          <w:p>
            <w:pPr>
              <w:jc w:val="center"/>
            </w:pPr>
            <w:r>
              <w:rPr>
                <w:b/>
                <w:sz w:val="20"/>
              </w:rPr>
              <w:t>Target</w:t>
            </w:r>
          </w:p>
        </w:tc>
        <w:tc>
          <w:tcPr>
            <w:tcW w:type="dxa" w:w="2880"/>
          </w:tcPr>
          <w:p>
            <w:pPr>
              <w:jc w:val="center"/>
            </w:pPr>
            <w:r>
              <w:rPr>
                <w:b/>
                <w:sz w:val="20"/>
              </w:rPr>
              <w:t>Rationale</w:t>
            </w:r>
          </w:p>
        </w:tc>
      </w:tr>
      <w:tr>
        <w:tc>
          <w:tcPr>
            <w:tcW w:type="dxa" w:w="2880"/>
          </w:tcPr>
          <w:p>
            <w:r>
              <w:rPr>
                <w:sz w:val="20"/>
              </w:rPr>
              <w:t>Response time</w:t>
            </w:r>
          </w:p>
        </w:tc>
        <w:tc>
          <w:tcPr>
            <w:tcW w:type="dxa" w:w="2880"/>
          </w:tcPr>
          <w:p>
            <w:r>
              <w:rPr>
                <w:sz w:val="20"/>
              </w:rPr>
              <w:t>p95 single-patient record fetch &lt; 500 ms</w:t>
            </w:r>
          </w:p>
        </w:tc>
        <w:tc>
          <w:tcPr>
            <w:tcW w:type="dxa" w:w="2880"/>
          </w:tcPr>
          <w:p>
            <w:r>
              <w:rPr>
                <w:sz w:val="20"/>
              </w:rPr>
              <w:t>Clinical workflows must not be delayed.</w:t>
            </w:r>
          </w:p>
        </w:tc>
      </w:tr>
      <w:tr>
        <w:tc>
          <w:tcPr>
            <w:tcW w:type="dxa" w:w="2880"/>
          </w:tcPr>
          <w:p>
            <w:r>
              <w:rPr>
                <w:sz w:val="20"/>
              </w:rPr>
              <w:t>Availability</w:t>
            </w:r>
          </w:p>
        </w:tc>
        <w:tc>
          <w:tcPr>
            <w:tcW w:type="dxa" w:w="2880"/>
          </w:tcPr>
          <w:p>
            <w:r>
              <w:rPr>
                <w:sz w:val="20"/>
              </w:rPr>
              <w:t>99.5% monthly uptime (prototype target)</w:t>
            </w:r>
          </w:p>
        </w:tc>
        <w:tc>
          <w:tcPr>
            <w:tcW w:type="dxa" w:w="2880"/>
          </w:tcPr>
          <w:p>
            <w:r>
              <w:rPr>
                <w:sz w:val="20"/>
              </w:rPr>
              <w:t>Production HA target: 99.9% with read-replica failover.</w:t>
            </w:r>
          </w:p>
        </w:tc>
      </w:tr>
      <w:tr>
        <w:tc>
          <w:tcPr>
            <w:tcW w:type="dxa" w:w="2880"/>
          </w:tcPr>
          <w:p>
            <w:r>
              <w:rPr>
                <w:sz w:val="20"/>
              </w:rPr>
              <w:t>Concurrency</w:t>
            </w:r>
          </w:p>
        </w:tc>
        <w:tc>
          <w:tcPr>
            <w:tcW w:type="dxa" w:w="2880"/>
          </w:tcPr>
          <w:p>
            <w:r>
              <w:rPr>
                <w:sz w:val="20"/>
              </w:rPr>
              <w:t>50 concurrent authenticated clinician sessions without p95 degradation</w:t>
            </w:r>
          </w:p>
        </w:tc>
        <w:tc>
          <w:tcPr>
            <w:tcW w:type="dxa" w:w="2880"/>
          </w:tcPr>
          <w:p>
            <w:r>
              <w:rPr>
                <w:sz w:val="20"/>
              </w:rPr>
              <w:t>Sized for a 3-hospital pilot (~50 active clinical users).</w:t>
            </w:r>
          </w:p>
        </w:tc>
      </w:tr>
      <w:tr>
        <w:tc>
          <w:tcPr>
            <w:tcW w:type="dxa" w:w="2880"/>
          </w:tcPr>
          <w:p>
            <w:r>
              <w:rPr>
                <w:sz w:val="20"/>
              </w:rPr>
              <w:t>RTO</w:t>
            </w:r>
          </w:p>
        </w:tc>
        <w:tc>
          <w:tcPr>
            <w:tcW w:type="dxa" w:w="2880"/>
          </w:tcPr>
          <w:p>
            <w:r>
              <w:rPr>
                <w:sz w:val="20"/>
              </w:rPr>
              <w:t>&lt; 4 hours for full service restore from backup</w:t>
            </w:r>
          </w:p>
        </w:tc>
        <w:tc>
          <w:tcPr>
            <w:tcW w:type="dxa" w:w="2880"/>
          </w:tcPr>
          <w:p>
            <w:r>
              <w:rPr>
                <w:sz w:val="20"/>
              </w:rPr>
              <w:t>From documented restore procedure.</w:t>
            </w:r>
          </w:p>
        </w:tc>
      </w:tr>
      <w:tr>
        <w:tc>
          <w:tcPr>
            <w:tcW w:type="dxa" w:w="2880"/>
          </w:tcPr>
          <w:p>
            <w:r>
              <w:rPr>
                <w:sz w:val="20"/>
              </w:rPr>
              <w:t>RPO</w:t>
            </w:r>
          </w:p>
        </w:tc>
        <w:tc>
          <w:tcPr>
            <w:tcW w:type="dxa" w:w="2880"/>
          </w:tcPr>
          <w:p>
            <w:r>
              <w:rPr>
                <w:sz w:val="20"/>
              </w:rPr>
              <w:t>&lt; 1 hour data loss</w:t>
            </w:r>
          </w:p>
        </w:tc>
        <w:tc>
          <w:tcPr>
            <w:tcW w:type="dxa" w:w="2880"/>
          </w:tcPr>
          <w:p>
            <w:r>
              <w:rPr>
                <w:sz w:val="20"/>
              </w:rPr>
              <w:t>Neon/cloud WAL point-in-time recovery in production.</w:t>
            </w:r>
          </w:p>
        </w:tc>
      </w:tr>
      <w:tr>
        <w:tc>
          <w:tcPr>
            <w:tcW w:type="dxa" w:w="2880"/>
          </w:tcPr>
          <w:p>
            <w:r>
              <w:rPr>
                <w:sz w:val="20"/>
              </w:rPr>
              <w:t>Audit retention</w:t>
            </w:r>
          </w:p>
        </w:tc>
        <w:tc>
          <w:tcPr>
            <w:tcW w:type="dxa" w:w="2880"/>
          </w:tcPr>
          <w:p>
            <w:r>
              <w:rPr>
                <w:sz w:val="20"/>
              </w:rPr>
              <w:t>30-day hot-database retention with WORM JSON archival</w:t>
            </w:r>
          </w:p>
        </w:tc>
        <w:tc>
          <w:tcPr>
            <w:tcW w:type="dxa" w:w="2880"/>
          </w:tcPr>
          <w:p>
            <w:r>
              <w:rPr>
                <w:sz w:val="20"/>
              </w:rPr>
              <w:t>Balances storage constraints with hash-chain continuity.</w:t>
            </w:r>
          </w:p>
        </w:tc>
      </w:tr>
      <w:tr>
        <w:tc>
          <w:tcPr>
            <w:tcW w:type="dxa" w:w="2880"/>
          </w:tcPr>
          <w:p>
            <w:r>
              <w:rPr>
                <w:sz w:val="20"/>
              </w:rPr>
              <w:t>Encryption</w:t>
            </w:r>
          </w:p>
        </w:tc>
        <w:tc>
          <w:tcPr>
            <w:tcW w:type="dxa" w:w="2880"/>
          </w:tcPr>
          <w:p>
            <w:r>
              <w:rPr>
                <w:sz w:val="20"/>
              </w:rPr>
              <w:t>AES-128-CBC (Fernet) + HMAC-SHA256 field-level; TLS 1.3 in transit</w:t>
            </w:r>
          </w:p>
        </w:tc>
        <w:tc>
          <w:tcPr>
            <w:tcW w:type="dxa" w:w="2880"/>
          </w:tcPr>
          <w:p>
            <w:r>
              <w:rPr>
                <w:sz w:val="20"/>
              </w:rPr>
              <w:t>Industry standard for PHI.</w:t>
            </w:r>
          </w:p>
        </w:tc>
      </w:tr>
      <w:tr>
        <w:tc>
          <w:tcPr>
            <w:tcW w:type="dxa" w:w="2880"/>
          </w:tcPr>
          <w:p>
            <w:r>
              <w:rPr>
                <w:sz w:val="20"/>
              </w:rPr>
              <w:t>Lockout</w:t>
            </w:r>
          </w:p>
        </w:tc>
        <w:tc>
          <w:tcPr>
            <w:tcW w:type="dxa" w:w="2880"/>
          </w:tcPr>
          <w:p>
            <w:r>
              <w:rPr>
                <w:sz w:val="20"/>
              </w:rPr>
              <w:t>Account locked after 5 failed login attempts; 1-hour cooldown</w:t>
            </w:r>
          </w:p>
        </w:tc>
        <w:tc>
          <w:tcPr>
            <w:tcW w:type="dxa" w:w="2880"/>
          </w:tcPr>
          <w:p>
            <w:r>
              <w:rPr>
                <w:sz w:val="20"/>
              </w:rPr>
              <w:t>Mitigates credential-stuffing attacks.</w:t>
            </w:r>
          </w:p>
        </w:tc>
      </w:tr>
      <w:tr>
        <w:tc>
          <w:tcPr>
            <w:tcW w:type="dxa" w:w="2880"/>
          </w:tcPr>
          <w:p>
            <w:r>
              <w:rPr>
                <w:sz w:val="20"/>
              </w:rPr>
              <w:t>Session timeout</w:t>
            </w:r>
          </w:p>
        </w:tc>
        <w:tc>
          <w:tcPr>
            <w:tcW w:type="dxa" w:w="2880"/>
          </w:tcPr>
          <w:p>
            <w:r>
              <w:rPr>
                <w:sz w:val="20"/>
              </w:rPr>
              <w:t>1-hour idle session expiry; auto-lock on inactivity</w:t>
            </w:r>
          </w:p>
        </w:tc>
        <w:tc>
          <w:tcPr>
            <w:tcW w:type="dxa" w:w="2880"/>
          </w:tcPr>
          <w:p>
            <w:r>
              <w:rPr>
                <w:sz w:val="20"/>
              </w:rPr>
              <w:t>Clinical workstations are frequently unattended.</w:t>
            </w:r>
          </w:p>
        </w:tc>
      </w:tr>
    </w:tbl>
    <w:p/>
    <w:p>
      <w:pPr>
        <w:pStyle w:val="Heading2"/>
      </w:pPr>
      <w:r>
        <w:t>3.6 Data Model and Entity-Relationship Design</w:t>
      </w:r>
    </w:p>
    <w:p>
      <w:pPr>
        <w:spacing w:after="120"/>
        <w:ind w:firstLine="720"/>
        <w:jc w:val="both"/>
      </w:pPr>
      <w:r>
        <w:rPr>
          <w:rFonts w:ascii="Times New Roman" w:hAnsi="Times New Roman"/>
          <w:b w:val="0"/>
          <w:i w:val="0"/>
          <w:sz w:val="24"/>
        </w:rPr>
        <w:t>The data model is built around six primary entities: Hospital, User, Patient, Encounter, (with child entities Diagnosis, Prescription, LabResult, Vitals), and AuditLog. The Patient entity is intentionally decoupled from the Hospital entity at the access control level — a patient is registered at a hospital (informational), but access from other hospitals is governed by the TreatmentRelationship and BreakGlassAccess models in the access application.</w:t>
      </w:r>
    </w:p>
    <w:p>
      <w:pPr>
        <w:pStyle w:val="Heading3"/>
      </w:pPr>
      <w:r>
        <w:t>3.6.1 Patient Entity</w:t>
      </w:r>
    </w:p>
    <w:p>
      <w:pPr>
        <w:spacing w:after="120"/>
        <w:ind w:firstLine="720"/>
        <w:jc w:val="both"/>
      </w:pPr>
      <w:r>
        <w:rPr>
          <w:rFonts w:ascii="Times New Roman" w:hAnsi="Times New Roman"/>
          <w:b w:val="0"/>
          <w:i w:val="0"/>
          <w:sz w:val="24"/>
        </w:rPr>
        <w:t>The Patient entity is the most security-sensitive model in the system. Every demographic field is encrypted at rest with Fernet. The universal_id (NHID-XXXXXXXX) is the only plaintext identifier — it is an opaque system-generated code that carries no biographical information. Alongside each encrypted field, a corresponding HMAC-SHA256 blind index (name_hash, national_id_hash) enables O(log n) exact-match searching without decrypting any data.</w:t>
      </w:r>
    </w:p>
    <w:p>
      <w:pPr>
        <w:pStyle w:val="Heading3"/>
      </w:pPr>
      <w:r>
        <w:t>3.6.2 AuditLog Entity</w:t>
      </w:r>
    </w:p>
    <w:p>
      <w:pPr>
        <w:spacing w:after="120"/>
        <w:ind w:firstLine="720"/>
        <w:jc w:val="both"/>
      </w:pPr>
      <w:r>
        <w:rPr>
          <w:rFonts w:ascii="Times New Roman" w:hAnsi="Times New Roman"/>
          <w:b w:val="0"/>
          <w:i w:val="0"/>
          <w:sz w:val="24"/>
        </w:rPr>
        <w:t>The AuditLog entity is append-only by design and contains no PHI values — only metadata about access events (actor, role, hospital, action, patient NHID, timestamp, IP address, cross-hospital flag). This design choice means audit entries can be inspected, retained, and reported without themselves being subject to the same encryption requirements as clinical data.</w:t>
      </w:r>
    </w:p>
    <w:p>
      <w:pPr>
        <w:pStyle w:val="Heading3"/>
      </w:pPr>
      <w:r>
        <w:t>3.6.3 Encryption Coverage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Table</w:t>
            </w:r>
          </w:p>
        </w:tc>
        <w:tc>
          <w:tcPr>
            <w:tcW w:type="dxa" w:w="2880"/>
          </w:tcPr>
          <w:p>
            <w:pPr>
              <w:jc w:val="center"/>
            </w:pPr>
            <w:r>
              <w:rPr>
                <w:b/>
                <w:sz w:val="20"/>
              </w:rPr>
              <w:t>Fields Encrypted</w:t>
            </w:r>
          </w:p>
        </w:tc>
        <w:tc>
          <w:tcPr>
            <w:tcW w:type="dxa" w:w="2880"/>
          </w:tcPr>
          <w:p>
            <w:pPr>
              <w:jc w:val="center"/>
            </w:pPr>
            <w:r>
              <w:rPr>
                <w:b/>
                <w:sz w:val="20"/>
              </w:rPr>
              <w:t>Fields Plaintext</w:t>
            </w:r>
          </w:p>
        </w:tc>
      </w:tr>
      <w:tr>
        <w:tc>
          <w:tcPr>
            <w:tcW w:type="dxa" w:w="2880"/>
          </w:tcPr>
          <w:p>
            <w:r>
              <w:rPr>
                <w:sz w:val="20"/>
              </w:rPr>
              <w:t>patients_patient</w:t>
            </w:r>
          </w:p>
        </w:tc>
        <w:tc>
          <w:tcPr>
            <w:tcW w:type="dxa" w:w="2880"/>
          </w:tcPr>
          <w:p>
            <w:r>
              <w:rPr>
                <w:sz w:val="20"/>
              </w:rPr>
              <w:t>first_name, last_name, date_of_birth, national_id, phone, email, address</w:t>
            </w:r>
          </w:p>
        </w:tc>
        <w:tc>
          <w:tcPr>
            <w:tcW w:type="dxa" w:w="2880"/>
          </w:tcPr>
          <w:p>
            <w:r>
              <w:rPr>
                <w:sz w:val="20"/>
              </w:rPr>
              <w:t>universal_id, sex, blood_group, hospital FKs, blind indexes</w:t>
            </w:r>
          </w:p>
        </w:tc>
      </w:tr>
      <w:tr>
        <w:tc>
          <w:tcPr>
            <w:tcW w:type="dxa" w:w="2880"/>
          </w:tcPr>
          <w:p>
            <w:r>
              <w:rPr>
                <w:sz w:val="20"/>
              </w:rPr>
              <w:t>records_encounter</w:t>
            </w:r>
          </w:p>
        </w:tc>
        <w:tc>
          <w:tcPr>
            <w:tcW w:type="dxa" w:w="2880"/>
          </w:tcPr>
          <w:p>
            <w:r>
              <w:rPr>
                <w:sz w:val="20"/>
              </w:rPr>
              <w:t>chief_complaint, notes</w:t>
            </w:r>
          </w:p>
        </w:tc>
        <w:tc>
          <w:tcPr>
            <w:tcW w:type="dxa" w:w="2880"/>
          </w:tcPr>
          <w:p>
            <w:r>
              <w:rPr>
                <w:sz w:val="20"/>
              </w:rPr>
              <w:t>type, FKs, timestamps</w:t>
            </w:r>
          </w:p>
        </w:tc>
      </w:tr>
      <w:tr>
        <w:tc>
          <w:tcPr>
            <w:tcW w:type="dxa" w:w="2880"/>
          </w:tcPr>
          <w:p>
            <w:r>
              <w:rPr>
                <w:sz w:val="20"/>
              </w:rPr>
              <w:t>records_diagnosis</w:t>
            </w:r>
          </w:p>
        </w:tc>
        <w:tc>
          <w:tcPr>
            <w:tcW w:type="dxa" w:w="2880"/>
          </w:tcPr>
          <w:p>
            <w:r>
              <w:rPr>
                <w:sz w:val="20"/>
              </w:rPr>
              <w:t>description</w:t>
            </w:r>
          </w:p>
        </w:tc>
        <w:tc>
          <w:tcPr>
            <w:tcW w:type="dxa" w:w="2880"/>
          </w:tcPr>
          <w:p>
            <w:r>
              <w:rPr>
                <w:sz w:val="20"/>
              </w:rPr>
              <w:t>icd_code, is_primary, FKs</w:t>
            </w:r>
          </w:p>
        </w:tc>
      </w:tr>
      <w:tr>
        <w:tc>
          <w:tcPr>
            <w:tcW w:type="dxa" w:w="2880"/>
          </w:tcPr>
          <w:p>
            <w:r>
              <w:rPr>
                <w:sz w:val="20"/>
              </w:rPr>
              <w:t>records_prescription</w:t>
            </w:r>
          </w:p>
        </w:tc>
        <w:tc>
          <w:tcPr>
            <w:tcW w:type="dxa" w:w="2880"/>
          </w:tcPr>
          <w:p>
            <w:r>
              <w:rPr>
                <w:sz w:val="20"/>
              </w:rPr>
              <w:t>drug_name, dosage, frequency, instructions</w:t>
            </w:r>
          </w:p>
        </w:tc>
        <w:tc>
          <w:tcPr>
            <w:tcW w:type="dxa" w:w="2880"/>
          </w:tcPr>
          <w:p>
            <w:r>
              <w:rPr>
                <w:sz w:val="20"/>
              </w:rPr>
              <w:t>FKs, timestamps</w:t>
            </w:r>
          </w:p>
        </w:tc>
      </w:tr>
      <w:tr>
        <w:tc>
          <w:tcPr>
            <w:tcW w:type="dxa" w:w="2880"/>
          </w:tcPr>
          <w:p>
            <w:r>
              <w:rPr>
                <w:sz w:val="20"/>
              </w:rPr>
              <w:t>records_labresult</w:t>
            </w:r>
          </w:p>
        </w:tc>
        <w:tc>
          <w:tcPr>
            <w:tcW w:type="dxa" w:w="2880"/>
          </w:tcPr>
          <w:p>
            <w:r>
              <w:rPr>
                <w:sz w:val="20"/>
              </w:rPr>
              <w:t>test_name, result_value</w:t>
            </w:r>
          </w:p>
        </w:tc>
        <w:tc>
          <w:tcPr>
            <w:tcW w:type="dxa" w:w="2880"/>
          </w:tcPr>
          <w:p>
            <w:r>
              <w:rPr>
                <w:sz w:val="20"/>
              </w:rPr>
              <w:t>reference_range, is_abnormal, FKs</w:t>
            </w:r>
          </w:p>
        </w:tc>
      </w:tr>
      <w:tr>
        <w:tc>
          <w:tcPr>
            <w:tcW w:type="dxa" w:w="2880"/>
          </w:tcPr>
          <w:p>
            <w:r>
              <w:rPr>
                <w:sz w:val="20"/>
              </w:rPr>
              <w:t>audit_auditlog</w:t>
            </w:r>
          </w:p>
        </w:tc>
        <w:tc>
          <w:tcPr>
            <w:tcW w:type="dxa" w:w="2880"/>
          </w:tcPr>
          <w:p>
            <w:r>
              <w:rPr>
                <w:sz w:val="20"/>
              </w:rPr>
              <w:t>None (audit metadata is intentionally plaintext)</w:t>
            </w:r>
          </w:p>
        </w:tc>
        <w:tc>
          <w:tcPr>
            <w:tcW w:type="dxa" w:w="2880"/>
          </w:tcPr>
          <w:p>
            <w:r>
              <w:rPr>
                <w:sz w:val="20"/>
              </w:rPr>
              <w:t>All fields</w:t>
            </w:r>
          </w:p>
        </w:tc>
      </w:tr>
    </w:tbl>
    <w:p/>
    <w:p>
      <w:pPr>
        <w:pStyle w:val="Heading2"/>
      </w:pPr>
      <w:r>
        <w:t>3.7 Security Design</w:t>
      </w:r>
    </w:p>
    <w:p>
      <w:pPr>
        <w:pStyle w:val="Heading3"/>
      </w:pPr>
      <w:r>
        <w:t>3.7.1 Authentication and Role-Based Access Control</w:t>
      </w:r>
    </w:p>
    <w:p>
      <w:pPr>
        <w:spacing w:after="120"/>
        <w:ind w:firstLine="720"/>
        <w:jc w:val="both"/>
      </w:pPr>
      <w:r>
        <w:rPr>
          <w:rFonts w:ascii="Times New Roman" w:hAnsi="Times New Roman"/>
          <w:b w:val="0"/>
          <w:i w:val="0"/>
          <w:sz w:val="24"/>
        </w:rPr>
        <w:t>Authentication uses Django's session framework with password hashing via Argon2/PBKDF2 (minimum 12 characters, no common passwords). The six roles are enforced per view through the @role_required decorator on server-rendered views and the custom DRF permission classes in api/permissions.py for API routes. The frontend enforces the same role restrictions via the RequireRole component, which gates entire page routes based on the authenticated user's role.</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Role</w:t>
            </w:r>
          </w:p>
        </w:tc>
        <w:tc>
          <w:tcPr>
            <w:tcW w:type="dxa" w:w="4320"/>
          </w:tcPr>
          <w:p>
            <w:pPr>
              <w:jc w:val="center"/>
            </w:pPr>
            <w:r>
              <w:rPr>
                <w:b/>
                <w:sz w:val="20"/>
              </w:rPr>
              <w:t>Permissions and Responsibilities</w:t>
            </w:r>
          </w:p>
        </w:tc>
      </w:tr>
      <w:tr>
        <w:tc>
          <w:tcPr>
            <w:tcW w:type="dxa" w:w="4320"/>
          </w:tcPr>
          <w:p>
            <w:r>
              <w:rPr>
                <w:sz w:val="20"/>
              </w:rPr>
              <w:t>SYSTEM_ADMIN</w:t>
            </w:r>
          </w:p>
        </w:tc>
        <w:tc>
          <w:tcPr>
            <w:tcW w:type="dxa" w:w="4320"/>
          </w:tcPr>
          <w:p>
            <w:r>
              <w:rPr>
                <w:sz w:val="20"/>
              </w:rPr>
              <w:t>Full system administration; manages hospitals; views global audit logs and hash chain verification.</w:t>
            </w:r>
          </w:p>
        </w:tc>
      </w:tr>
      <w:tr>
        <w:tc>
          <w:tcPr>
            <w:tcW w:type="dxa" w:w="4320"/>
          </w:tcPr>
          <w:p>
            <w:r>
              <w:rPr>
                <w:sz w:val="20"/>
              </w:rPr>
              <w:t>HOSPITAL_ADMIN</w:t>
            </w:r>
          </w:p>
        </w:tc>
        <w:tc>
          <w:tcPr>
            <w:tcW w:type="dxa" w:w="4320"/>
          </w:tcPr>
          <w:p>
            <w:r>
              <w:rPr>
                <w:sz w:val="20"/>
              </w:rPr>
              <w:t>Local hospital staff administration, user creation, password resets, hospital overview.</w:t>
            </w:r>
          </w:p>
        </w:tc>
      </w:tr>
      <w:tr>
        <w:tc>
          <w:tcPr>
            <w:tcW w:type="dxa" w:w="4320"/>
          </w:tcPr>
          <w:p>
            <w:r>
              <w:rPr>
                <w:sz w:val="20"/>
              </w:rPr>
              <w:t>DOCTOR</w:t>
            </w:r>
          </w:p>
        </w:tc>
        <w:tc>
          <w:tcPr>
            <w:tcW w:type="dxa" w:w="4320"/>
          </w:tcPr>
          <w:p>
            <w:r>
              <w:rPr>
                <w:sz w:val="20"/>
              </w:rPr>
              <w:t>Full clinical access: creates encounters, diagnoses, prescriptions, lab orders, vitals, referrals, AI queries.</w:t>
            </w:r>
          </w:p>
        </w:tc>
      </w:tr>
      <w:tr>
        <w:tc>
          <w:tcPr>
            <w:tcW w:type="dxa" w:w="4320"/>
          </w:tcPr>
          <w:p>
            <w:r>
              <w:rPr>
                <w:sz w:val="20"/>
              </w:rPr>
              <w:t>NURSE</w:t>
            </w:r>
          </w:p>
        </w:tc>
        <w:tc>
          <w:tcPr>
            <w:tcW w:type="dxa" w:w="4320"/>
          </w:tcPr>
          <w:p>
            <w:r>
              <w:rPr>
                <w:sz w:val="20"/>
              </w:rPr>
              <w:t>Clinical care support: views encounters, creates diagnoses, lab results, records vitals, shift handovers.</w:t>
            </w:r>
          </w:p>
        </w:tc>
      </w:tr>
      <w:tr>
        <w:tc>
          <w:tcPr>
            <w:tcW w:type="dxa" w:w="4320"/>
          </w:tcPr>
          <w:p>
            <w:r>
              <w:rPr>
                <w:sz w:val="20"/>
              </w:rPr>
              <w:t>LAB_TECH</w:t>
            </w:r>
          </w:p>
        </w:tc>
        <w:tc>
          <w:tcPr>
            <w:tcW w:type="dxa" w:w="4320"/>
          </w:tcPr>
          <w:p>
            <w:r>
              <w:rPr>
                <w:sz w:val="20"/>
              </w:rPr>
              <w:t>Laboratory operations: manages lab order worklists, records lab result values (no general clinical view).</w:t>
            </w:r>
          </w:p>
        </w:tc>
      </w:tr>
      <w:tr>
        <w:tc>
          <w:tcPr>
            <w:tcW w:type="dxa" w:w="4320"/>
          </w:tcPr>
          <w:p>
            <w:r>
              <w:rPr>
                <w:sz w:val="20"/>
              </w:rPr>
              <w:t>RECEPTIONIST</w:t>
            </w:r>
          </w:p>
        </w:tc>
        <w:tc>
          <w:tcPr>
            <w:tcW w:type="dxa" w:w="4320"/>
          </w:tcPr>
          <w:p>
            <w:r>
              <w:rPr>
                <w:sz w:val="20"/>
              </w:rPr>
              <w:t>Administrative registration: registers new patients, updates demographics; zero access to clinical details.</w:t>
            </w:r>
          </w:p>
        </w:tc>
      </w:tr>
    </w:tbl>
    <w:p/>
    <w:p>
      <w:pPr>
        <w:pStyle w:val="Heading3"/>
      </w:pPr>
      <w:r>
        <w:t>3.7.2 Field-Level Encryption</w:t>
      </w:r>
    </w:p>
    <w:p>
      <w:pPr>
        <w:spacing w:after="120"/>
        <w:ind w:firstLine="720"/>
        <w:jc w:val="both"/>
      </w:pPr>
      <w:r>
        <w:rPr>
          <w:rFonts w:ascii="Times New Roman" w:hAnsi="Times New Roman"/>
          <w:b w:val="0"/>
          <w:i w:val="0"/>
          <w:sz w:val="24"/>
        </w:rPr>
        <w:t>Application-layer encryption is the primary defence against database breaches. The EncryptedCharField and EncryptedTextField custom Django field types (in core/fields.py) transparently encrypt values using Fernet before writing to the database and decrypt them after reading. Fernet uses AES-128-CBC with a random IV for each encryption, authenticated with HMAC-SHA256 — meaning ciphertext modification is detected before decryption is attempted.</w:t>
      </w:r>
    </w:p>
    <w:p>
      <w:pPr>
        <w:spacing w:after="120"/>
        <w:ind w:firstLine="720"/>
        <w:jc w:val="both"/>
      </w:pPr>
      <w:r>
        <w:rPr>
          <w:rFonts w:ascii="Times New Roman" w:hAnsi="Times New Roman"/>
          <w:b w:val="0"/>
          <w:i w:val="0"/>
          <w:sz w:val="24"/>
        </w:rPr>
        <w:t>The practical consequence: a compromised PostgreSQL backup reveals nothing about patient names, diagnoses, or prescriptions without the FIELD_ENCRYPTION_KEY. The key is stored as an environment variable, never in source code or the database. In production, it should be managed by a hardware security module or secrets manager (AWS Secrets Manager, GCP Secret Manager, HashiCorp Vault).</w:t>
      </w:r>
    </w:p>
    <w:p>
      <w:pPr>
        <w:pStyle w:val="Heading3"/>
      </w:pPr>
      <w:r>
        <w:t>3.7.3 HMAC-SHA256 Blind Indexing for Encrypted Search</w:t>
      </w:r>
    </w:p>
    <w:p>
      <w:pPr>
        <w:spacing w:after="120"/>
        <w:ind w:firstLine="720"/>
        <w:jc w:val="both"/>
      </w:pPr>
      <w:r>
        <w:rPr>
          <w:rFonts w:ascii="Times New Roman" w:hAnsi="Times New Roman"/>
          <w:b w:val="0"/>
          <w:i w:val="0"/>
          <w:sz w:val="24"/>
        </w:rPr>
        <w:t>Field-level encryption creates a fundamental problem: you cannot run WHERE first_name = 'Yaw' when first_name is ciphertext. The blind index approach solves this without decrypting the database. At save time, the system computes: blind_index = HMAC-SHA256(key=BLIND_INDEX_KEY, msg=normalised_value.lower()) and stores this as a separate indexed column. Search queries compute the same HMAC and do an exact-match lookup on the index column — O(log n), without touching any ciphertext. BLIND_INDEX_KEY is separate from FIELD_ENCRYPTION_KEY; compromise of one does not compromise the other.</w:t>
      </w:r>
    </w:p>
    <w:p>
      <w:pPr>
        <w:pStyle w:val="Heading3"/>
      </w:pPr>
      <w:r>
        <w:t>3.7.4 Two-Factor Authentication (TOTP)</w:t>
      </w:r>
    </w:p>
    <w:p>
      <w:pPr>
        <w:spacing w:after="120"/>
        <w:ind w:firstLine="720"/>
        <w:jc w:val="both"/>
      </w:pPr>
      <w:r>
        <w:rPr>
          <w:rFonts w:ascii="Times New Roman" w:hAnsi="Times New Roman"/>
          <w:b w:val="0"/>
          <w:i w:val="0"/>
          <w:sz w:val="24"/>
        </w:rPr>
        <w:t>TOTP MFA is implemented via django-otp following RFC 6238. On first login after MFA enforcement is activated, clinical and administrative users are redirected to the MFA setup flow where they scan a QR code with Google Authenticator, Authy, or Microsoft Authenticator, and verify with a 6-digit TOTP code. Eight single-use emergency backup recovery codes are generated and stored as SHA-256 hashes. An 8-hour trusted-device window (signed cookie) reduces per-request friction for shift-length workflows without removing the control.</w:t>
      </w:r>
    </w:p>
    <w:p>
      <w:pPr>
        <w:pStyle w:val="Heading3"/>
      </w:pPr>
      <w:r>
        <w:t>3.7.5 Break-the-Glass Emergency Access</w:t>
      </w:r>
    </w:p>
    <w:p>
      <w:pPr>
        <w:spacing w:after="120"/>
        <w:ind w:firstLine="720"/>
        <w:jc w:val="both"/>
      </w:pPr>
      <w:r>
        <w:rPr>
          <w:rFonts w:ascii="Times New Roman" w:hAnsi="Times New Roman"/>
          <w:b w:val="0"/>
          <w:i w:val="0"/>
          <w:sz w:val="24"/>
        </w:rPr>
        <w:t>The Break-the-Glass workflow resolves the genuine tension between security and clinical urgency. When a clinician at Hospital B needs emergency access to a patient registered at Hospital A, they submit: a clinical justification of at least 20 characters, an explicit acknowledgment checkbox, and a current TOTP code (if they have enrolled MFA). The system creates a BreakGlassAccess record expiring one hour later, emits a BREAK_GLASS audit log entry with the full justification, and displays a prominent warning banner on every subsequent page view during the grant window. Hospital admins can review all break-glass events for their facility in the compliance dashboard.</w:t>
      </w:r>
    </w:p>
    <w:p>
      <w:pPr>
        <w:pStyle w:val="Heading3"/>
      </w:pPr>
      <w:r>
        <w:t>3.7.6 SHA-256 Tamper-Evident Audit Hash Chain</w:t>
      </w:r>
    </w:p>
    <w:p>
      <w:pPr>
        <w:spacing w:after="120"/>
        <w:ind w:firstLine="720"/>
        <w:jc w:val="both"/>
      </w:pPr>
      <w:r>
        <w:rPr>
          <w:rFonts w:ascii="Times New Roman" w:hAnsi="Times New Roman"/>
          <w:b w:val="0"/>
          <w:i w:val="0"/>
          <w:sz w:val="24"/>
        </w:rPr>
        <w:t>Every AuditLog entry carries a SHA-256 hash of its canonical content merged with the preceding entry's hash: current_hash = SHA256(prev_hash + canonical_json). This creates a chain where modifying any past entry invalidates all subsequent hashes. The chain is verified with python manage.py verify_audit_chain. Database-level immutability is enforced by a PostgreSQL BEFORE UPDATE OR DELETE trigger that raises an exception on any mutation attempt — even by a database administrator with direct SQL access. The WORM archival pattern (prune_audit_logs management command) exports older entries to a signed JSON archive, records a cryptographic anchor, and prunes database rows without breaking chain continuity.</w:t>
      </w:r>
    </w:p>
    <w:p>
      <w:pPr>
        <w:pStyle w:val="Heading3"/>
      </w:pPr>
      <w:r>
        <w:t>3.7.7 Row-Level Security (Defense-in-Depth)</w:t>
      </w:r>
    </w:p>
    <w:p>
      <w:pPr>
        <w:spacing w:after="120"/>
        <w:ind w:firstLine="720"/>
        <w:jc w:val="both"/>
      </w:pPr>
      <w:r>
        <w:rPr>
          <w:rFonts w:ascii="Times New Roman" w:hAnsi="Times New Roman"/>
          <w:b w:val="0"/>
          <w:i w:val="0"/>
          <w:sz w:val="24"/>
        </w:rPr>
        <w:t>PostgreSQL Row-Level Security (RLS) is enabled on the audit_auditlog and records_encounter tables as a defense-in-depth layer. Three GUC variables (app.user_id, app.hospital_id, app.is_admin) are set per HTTP request by RLSContextMiddleware and evaluated by the RLS policies. This mirrors the application-layer can_access_patient() logic at the database engine level, protecting against bugs in the application layer (a forgotten .filter() returning all encounters) and SQL injection that does not also execute SET app.is_admin = on.</w:t>
      </w:r>
    </w:p>
    <w:p>
      <w:pPr>
        <w:pStyle w:val="Heading2"/>
      </w:pPr>
      <w:r>
        <w:t>3.8 Software Process Model</w:t>
      </w:r>
    </w:p>
    <w:p>
      <w:pPr>
        <w:spacing w:after="120"/>
        <w:ind w:firstLine="720"/>
        <w:jc w:val="both"/>
      </w:pPr>
      <w:r>
        <w:rPr>
          <w:rFonts w:ascii="Times New Roman" w:hAnsi="Times New Roman"/>
          <w:b w:val="0"/>
          <w:i w:val="0"/>
          <w:sz w:val="24"/>
        </w:rPr>
        <w:t>Development used an Agile, iterative approach with practices drawn from Scrum and Kanban. Each sprint delivered a working, tested increment: Sprint 1 covered authentication, RBAC, and field encryption; Sprint 2 added the patient registry, EMPI, and blind indexing; Sprint 3 built clinical records and the inter-hospital access gate; Sprint 4 added the AI assistant and FHIR layer; Sprint 5 completed the audit hash chain, WORM archival, and PostgreSQL RLS. A dedicated security review sprint ran the STRIDE threat model against each completed feature.</w:t>
      </w:r>
    </w:p>
    <w:p>
      <w:pPr>
        <w:spacing w:after="120"/>
        <w:ind w:firstLine="720"/>
        <w:jc w:val="both"/>
      </w:pPr>
      <w:r>
        <w:rPr>
          <w:rFonts w:ascii="Times New Roman" w:hAnsi="Times New Roman"/>
          <w:b w:val="0"/>
          <w:i w:val="0"/>
          <w:sz w:val="24"/>
        </w:rPr>
        <w:t>A purely plan-driven waterfall model was rejected for two reasons. First, the security design evolved in non-obvious ways during implementation — the Break-the-Glass MFA re-verification design, the decision to use separate keys for field encryption and blind indexing, and the WORM archival pattern were all refined through implementation experience rather than specified upfront. Second, the test suite needed to evolve alongside the features, and an iterative model supported test-driven development in each sprint.</w:t>
      </w:r>
    </w:p>
    <w:p>
      <w:pPr>
        <w:pStyle w:val="Heading2"/>
      </w:pPr>
      <w:r>
        <w:t>3.9 Development Tools</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20"/>
              </w:rPr>
              <w:t>Tool / Technology</w:t>
            </w:r>
          </w:p>
        </w:tc>
        <w:tc>
          <w:tcPr>
            <w:tcW w:type="dxa" w:w="4320"/>
          </w:tcPr>
          <w:p>
            <w:pPr>
              <w:jc w:val="center"/>
            </w:pPr>
            <w:r>
              <w:rPr>
                <w:b/>
                <w:sz w:val="20"/>
              </w:rPr>
              <w:t>Purpose in the Project</w:t>
            </w:r>
          </w:p>
        </w:tc>
      </w:tr>
      <w:tr>
        <w:tc>
          <w:tcPr>
            <w:tcW w:type="dxa" w:w="4320"/>
          </w:tcPr>
          <w:p>
            <w:r>
              <w:rPr>
                <w:sz w:val="20"/>
              </w:rPr>
              <w:t>Python 3.13 / Django 4.2</w:t>
            </w:r>
          </w:p>
        </w:tc>
        <w:tc>
          <w:tcPr>
            <w:tcW w:type="dxa" w:w="4320"/>
          </w:tcPr>
          <w:p>
            <w:r>
              <w:rPr>
                <w:sz w:val="20"/>
              </w:rPr>
              <w:t>Backend framework and ORM</w:t>
            </w:r>
          </w:p>
        </w:tc>
      </w:tr>
      <w:tr>
        <w:tc>
          <w:tcPr>
            <w:tcW w:type="dxa" w:w="4320"/>
          </w:tcPr>
          <w:p>
            <w:r>
              <w:rPr>
                <w:sz w:val="20"/>
              </w:rPr>
              <w:t>Django REST Framework 3.15</w:t>
            </w:r>
          </w:p>
        </w:tc>
        <w:tc>
          <w:tcPr>
            <w:tcW w:type="dxa" w:w="4320"/>
          </w:tcPr>
          <w:p>
            <w:r>
              <w:rPr>
                <w:sz w:val="20"/>
              </w:rPr>
              <w:t>REST API serialisation, authentication, and permissions</w:t>
            </w:r>
          </w:p>
        </w:tc>
      </w:tr>
      <w:tr>
        <w:tc>
          <w:tcPr>
            <w:tcW w:type="dxa" w:w="4320"/>
          </w:tcPr>
          <w:p>
            <w:r>
              <w:rPr>
                <w:sz w:val="20"/>
              </w:rPr>
              <w:t>PostgreSQL (Neon serverless)</w:t>
            </w:r>
          </w:p>
        </w:tc>
        <w:tc>
          <w:tcPr>
            <w:tcW w:type="dxa" w:w="4320"/>
          </w:tcPr>
          <w:p>
            <w:r>
              <w:rPr>
                <w:sz w:val="20"/>
              </w:rPr>
              <w:t>Primary production database</w:t>
            </w:r>
          </w:p>
        </w:tc>
      </w:tr>
      <w:tr>
        <w:tc>
          <w:tcPr>
            <w:tcW w:type="dxa" w:w="4320"/>
          </w:tcPr>
          <w:p>
            <w:r>
              <w:rPr>
                <w:sz w:val="20"/>
              </w:rPr>
              <w:t>SQLite</w:t>
            </w:r>
          </w:p>
        </w:tc>
        <w:tc>
          <w:tcPr>
            <w:tcW w:type="dxa" w:w="4320"/>
          </w:tcPr>
          <w:p>
            <w:r>
              <w:rPr>
                <w:sz w:val="20"/>
              </w:rPr>
              <w:t>Development and test database (in-memory for test suite)</w:t>
            </w:r>
          </w:p>
        </w:tc>
      </w:tr>
      <w:tr>
        <w:tc>
          <w:tcPr>
            <w:tcW w:type="dxa" w:w="4320"/>
          </w:tcPr>
          <w:p>
            <w:r>
              <w:rPr>
                <w:sz w:val="20"/>
              </w:rPr>
              <w:t>Python cryptography (Fernet)</w:t>
            </w:r>
          </w:p>
        </w:tc>
        <w:tc>
          <w:tcPr>
            <w:tcW w:type="dxa" w:w="4320"/>
          </w:tcPr>
          <w:p>
            <w:r>
              <w:rPr>
                <w:sz w:val="20"/>
              </w:rPr>
              <w:t>Field-level AES-128-CBC + HMAC-SHA256 encryption</w:t>
            </w:r>
          </w:p>
        </w:tc>
      </w:tr>
      <w:tr>
        <w:tc>
          <w:tcPr>
            <w:tcW w:type="dxa" w:w="4320"/>
          </w:tcPr>
          <w:p>
            <w:r>
              <w:rPr>
                <w:sz w:val="20"/>
              </w:rPr>
              <w:t>django-otp / PyOTP</w:t>
            </w:r>
          </w:p>
        </w:tc>
        <w:tc>
          <w:tcPr>
            <w:tcW w:type="dxa" w:w="4320"/>
          </w:tcPr>
          <w:p>
            <w:r>
              <w:rPr>
                <w:sz w:val="20"/>
              </w:rPr>
              <w:t>TOTP MFA implementation (RFC 6238)</w:t>
            </w:r>
          </w:p>
        </w:tc>
      </w:tr>
      <w:tr>
        <w:tc>
          <w:tcPr>
            <w:tcW w:type="dxa" w:w="4320"/>
          </w:tcPr>
          <w:p>
            <w:r>
              <w:rPr>
                <w:sz w:val="20"/>
              </w:rPr>
              <w:t>django-axes</w:t>
            </w:r>
          </w:p>
        </w:tc>
        <w:tc>
          <w:tcPr>
            <w:tcW w:type="dxa" w:w="4320"/>
          </w:tcPr>
          <w:p>
            <w:r>
              <w:rPr>
                <w:sz w:val="20"/>
              </w:rPr>
              <w:t>Brute-force login protection and account lockout</w:t>
            </w:r>
          </w:p>
        </w:tc>
      </w:tr>
      <w:tr>
        <w:tc>
          <w:tcPr>
            <w:tcW w:type="dxa" w:w="4320"/>
          </w:tcPr>
          <w:p>
            <w:r>
              <w:rPr>
                <w:sz w:val="20"/>
              </w:rPr>
              <w:t>google-generativeai / Ollama API</w:t>
            </w:r>
          </w:p>
        </w:tc>
        <w:tc>
          <w:tcPr>
            <w:tcW w:type="dxa" w:w="4320"/>
          </w:tcPr>
          <w:p>
            <w:r>
              <w:rPr>
                <w:sz w:val="20"/>
              </w:rPr>
              <w:t>AI clinical assistant backend</w:t>
            </w:r>
          </w:p>
        </w:tc>
      </w:tr>
      <w:tr>
        <w:tc>
          <w:tcPr>
            <w:tcW w:type="dxa" w:w="4320"/>
          </w:tcPr>
          <w:p>
            <w:r>
              <w:rPr>
                <w:sz w:val="20"/>
              </w:rPr>
              <w:t>fhir.resources</w:t>
            </w:r>
          </w:p>
        </w:tc>
        <w:tc>
          <w:tcPr>
            <w:tcW w:type="dxa" w:w="4320"/>
          </w:tcPr>
          <w:p>
            <w:r>
              <w:rPr>
                <w:sz w:val="20"/>
              </w:rPr>
              <w:t>FHIR R4 schema validation</w:t>
            </w:r>
          </w:p>
        </w:tc>
      </w:tr>
      <w:tr>
        <w:tc>
          <w:tcPr>
            <w:tcW w:type="dxa" w:w="4320"/>
          </w:tcPr>
          <w:p>
            <w:r>
              <w:rPr>
                <w:sz w:val="20"/>
              </w:rPr>
              <w:t>React 18 / TypeScript / Vite 6</w:t>
            </w:r>
          </w:p>
        </w:tc>
        <w:tc>
          <w:tcPr>
            <w:tcW w:type="dxa" w:w="4320"/>
          </w:tcPr>
          <w:p>
            <w:r>
              <w:rPr>
                <w:sz w:val="20"/>
              </w:rPr>
              <w:t>Frontend SPA framework and build toolchain</w:t>
            </w:r>
          </w:p>
        </w:tc>
      </w:tr>
      <w:tr>
        <w:tc>
          <w:tcPr>
            <w:tcW w:type="dxa" w:w="4320"/>
          </w:tcPr>
          <w:p>
            <w:r>
              <w:rPr>
                <w:sz w:val="20"/>
              </w:rPr>
              <w:t>Mantine UI v7</w:t>
            </w:r>
          </w:p>
        </w:tc>
        <w:tc>
          <w:tcPr>
            <w:tcW w:type="dxa" w:w="4320"/>
          </w:tcPr>
          <w:p>
            <w:r>
              <w:rPr>
                <w:sz w:val="20"/>
              </w:rPr>
              <w:t>UI component library</w:t>
            </w:r>
          </w:p>
        </w:tc>
      </w:tr>
      <w:tr>
        <w:tc>
          <w:tcPr>
            <w:tcW w:type="dxa" w:w="4320"/>
          </w:tcPr>
          <w:p>
            <w:r>
              <w:rPr>
                <w:sz w:val="20"/>
              </w:rPr>
              <w:t>TanStack React Query v5 / Axios</w:t>
            </w:r>
          </w:p>
        </w:tc>
        <w:tc>
          <w:tcPr>
            <w:tcW w:type="dxa" w:w="4320"/>
          </w:tcPr>
          <w:p>
            <w:r>
              <w:rPr>
                <w:sz w:val="20"/>
              </w:rPr>
              <w:t>Server state management and HTTP client</w:t>
            </w:r>
          </w:p>
        </w:tc>
      </w:tr>
      <w:tr>
        <w:tc>
          <w:tcPr>
            <w:tcW w:type="dxa" w:w="4320"/>
          </w:tcPr>
          <w:p>
            <w:r>
              <w:rPr>
                <w:sz w:val="20"/>
              </w:rPr>
              <w:t>React Router v6</w:t>
            </w:r>
          </w:p>
        </w:tc>
        <w:tc>
          <w:tcPr>
            <w:tcW w:type="dxa" w:w="4320"/>
          </w:tcPr>
          <w:p>
            <w:r>
              <w:rPr>
                <w:sz w:val="20"/>
              </w:rPr>
              <w:t>Frontend routing</w:t>
            </w:r>
          </w:p>
        </w:tc>
      </w:tr>
      <w:tr>
        <w:tc>
          <w:tcPr>
            <w:tcW w:type="dxa" w:w="4320"/>
          </w:tcPr>
          <w:p>
            <w:r>
              <w:rPr>
                <w:sz w:val="20"/>
              </w:rPr>
              <w:t>pytest / pytest-django / pytest-cov</w:t>
            </w:r>
          </w:p>
        </w:tc>
        <w:tc>
          <w:tcPr>
            <w:tcW w:type="dxa" w:w="4320"/>
          </w:tcPr>
          <w:p>
            <w:r>
              <w:rPr>
                <w:sz w:val="20"/>
              </w:rPr>
              <w:t>Backend test framework</w:t>
            </w:r>
          </w:p>
        </w:tc>
      </w:tr>
      <w:tr>
        <w:tc>
          <w:tcPr>
            <w:tcW w:type="dxa" w:w="4320"/>
          </w:tcPr>
          <w:p>
            <w:r>
              <w:rPr>
                <w:sz w:val="20"/>
              </w:rPr>
              <w:t>Vitest / React Testing Library</w:t>
            </w:r>
          </w:p>
        </w:tc>
        <w:tc>
          <w:tcPr>
            <w:tcW w:type="dxa" w:w="4320"/>
          </w:tcPr>
          <w:p>
            <w:r>
              <w:rPr>
                <w:sz w:val="20"/>
              </w:rPr>
              <w:t>Frontend test framework</w:t>
            </w:r>
          </w:p>
        </w:tc>
      </w:tr>
      <w:tr>
        <w:tc>
          <w:tcPr>
            <w:tcW w:type="dxa" w:w="4320"/>
          </w:tcPr>
          <w:p>
            <w:r>
              <w:rPr>
                <w:sz w:val="20"/>
              </w:rPr>
              <w:t>Docker / docker-compose</w:t>
            </w:r>
          </w:p>
        </w:tc>
        <w:tc>
          <w:tcPr>
            <w:tcW w:type="dxa" w:w="4320"/>
          </w:tcPr>
          <w:p>
            <w:r>
              <w:rPr>
                <w:sz w:val="20"/>
              </w:rPr>
              <w:t>Containerisation and local orchestration</w:t>
            </w:r>
          </w:p>
        </w:tc>
      </w:tr>
      <w:tr>
        <w:tc>
          <w:tcPr>
            <w:tcW w:type="dxa" w:w="4320"/>
          </w:tcPr>
          <w:p>
            <w:r>
              <w:rPr>
                <w:sz w:val="20"/>
              </w:rPr>
              <w:t>Gunicorn</w:t>
            </w:r>
          </w:p>
        </w:tc>
        <w:tc>
          <w:tcPr>
            <w:tcW w:type="dxa" w:w="4320"/>
          </w:tcPr>
          <w:p>
            <w:r>
              <w:rPr>
                <w:sz w:val="20"/>
              </w:rPr>
              <w:t>WSGI production server</w:t>
            </w:r>
          </w:p>
        </w:tc>
      </w:tr>
      <w:tr>
        <w:tc>
          <w:tcPr>
            <w:tcW w:type="dxa" w:w="4320"/>
          </w:tcPr>
          <w:p>
            <w:r>
              <w:rPr>
                <w:sz w:val="20"/>
              </w:rPr>
              <w:t>WhiteNoise</w:t>
            </w:r>
          </w:p>
        </w:tc>
        <w:tc>
          <w:tcPr>
            <w:tcW w:type="dxa" w:w="4320"/>
          </w:tcPr>
          <w:p>
            <w:r>
              <w:rPr>
                <w:sz w:val="20"/>
              </w:rPr>
              <w:t>Static file serving</w:t>
            </w:r>
          </w:p>
        </w:tc>
      </w:tr>
    </w:tbl>
    <w:p/>
    <w:p>
      <w:pPr>
        <w:pStyle w:val="Heading2"/>
      </w:pPr>
      <w:r>
        <w:t>3.10 UML Diagrams and Process Flows</w:t>
      </w:r>
    </w:p>
    <w:p>
      <w:pPr>
        <w:pStyle w:val="Heading3"/>
      </w:pPr>
      <w:r>
        <w:t>3.10.1 Actor Catalogue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Actor</w:t>
            </w:r>
          </w:p>
        </w:tc>
        <w:tc>
          <w:tcPr>
            <w:tcW w:type="dxa" w:w="2880"/>
          </w:tcPr>
          <w:p>
            <w:pPr>
              <w:jc w:val="center"/>
            </w:pPr>
            <w:r>
              <w:rPr>
                <w:b/>
                <w:sz w:val="20"/>
              </w:rPr>
              <w:t>Type</w:t>
            </w:r>
          </w:p>
        </w:tc>
        <w:tc>
          <w:tcPr>
            <w:tcW w:type="dxa" w:w="2880"/>
          </w:tcPr>
          <w:p>
            <w:pPr>
              <w:jc w:val="center"/>
            </w:pPr>
            <w:r>
              <w:rPr>
                <w:b/>
                <w:sz w:val="20"/>
              </w:rPr>
              <w:t>Goals / Responsibilities</w:t>
            </w:r>
          </w:p>
        </w:tc>
      </w:tr>
      <w:tr>
        <w:tc>
          <w:tcPr>
            <w:tcW w:type="dxa" w:w="2880"/>
          </w:tcPr>
          <w:p>
            <w:r>
              <w:rPr>
                <w:sz w:val="20"/>
              </w:rPr>
              <w:t>Patient</w:t>
            </w:r>
          </w:p>
        </w:tc>
        <w:tc>
          <w:tcPr>
            <w:tcW w:type="dxa" w:w="2880"/>
          </w:tcPr>
          <w:p>
            <w:r>
              <w:rPr>
                <w:sz w:val="20"/>
              </w:rPr>
              <w:t>Human</w:t>
            </w:r>
          </w:p>
        </w:tc>
        <w:tc>
          <w:tcPr>
            <w:tcW w:type="dxa" w:w="2880"/>
          </w:tcPr>
          <w:p>
            <w:r>
              <w:rPr>
                <w:sz w:val="20"/>
              </w:rPr>
              <w:t>Receive care; have records available at any participating hospital.</w:t>
            </w:r>
          </w:p>
        </w:tc>
      </w:tr>
      <w:tr>
        <w:tc>
          <w:tcPr>
            <w:tcW w:type="dxa" w:w="2880"/>
          </w:tcPr>
          <w:p>
            <w:r>
              <w:rPr>
                <w:sz w:val="20"/>
              </w:rPr>
              <w:t>Doctor</w:t>
            </w:r>
          </w:p>
        </w:tc>
        <w:tc>
          <w:tcPr>
            <w:tcW w:type="dxa" w:w="2880"/>
          </w:tcPr>
          <w:p>
            <w:r>
              <w:rPr>
                <w:sz w:val="20"/>
              </w:rPr>
              <w:t>Clinical human</w:t>
            </w:r>
          </w:p>
        </w:tc>
        <w:tc>
          <w:tcPr>
            <w:tcW w:type="dxa" w:w="2880"/>
          </w:tcPr>
          <w:p>
            <w:r>
              <w:rPr>
                <w:sz w:val="20"/>
              </w:rPr>
              <w:t>Read/write complete patient records; prescribe medications; request lab tests; access cross-hospital records for referred patients.</w:t>
            </w:r>
          </w:p>
        </w:tc>
      </w:tr>
      <w:tr>
        <w:tc>
          <w:tcPr>
            <w:tcW w:type="dxa" w:w="2880"/>
          </w:tcPr>
          <w:p>
            <w:r>
              <w:rPr>
                <w:sz w:val="20"/>
              </w:rPr>
              <w:t>Nurse</w:t>
            </w:r>
          </w:p>
        </w:tc>
        <w:tc>
          <w:tcPr>
            <w:tcW w:type="dxa" w:w="2880"/>
          </w:tcPr>
          <w:p>
            <w:r>
              <w:rPr>
                <w:sz w:val="20"/>
              </w:rPr>
              <w:t>Clinical human</w:t>
            </w:r>
          </w:p>
        </w:tc>
        <w:tc>
          <w:tcPr>
            <w:tcW w:type="dxa" w:w="2880"/>
          </w:tcPr>
          <w:p>
            <w:r>
              <w:rPr>
                <w:sz w:val="20"/>
              </w:rPr>
              <w:t>View and update clinical records; document encounters; administer medication per prescription.</w:t>
            </w:r>
          </w:p>
        </w:tc>
      </w:tr>
      <w:tr>
        <w:tc>
          <w:tcPr>
            <w:tcW w:type="dxa" w:w="2880"/>
          </w:tcPr>
          <w:p>
            <w:r>
              <w:rPr>
                <w:sz w:val="20"/>
              </w:rPr>
              <w:t>Lab Technician</w:t>
            </w:r>
          </w:p>
        </w:tc>
        <w:tc>
          <w:tcPr>
            <w:tcW w:type="dxa" w:w="2880"/>
          </w:tcPr>
          <w:p>
            <w:r>
              <w:rPr>
                <w:sz w:val="20"/>
              </w:rPr>
              <w:t>Clinical human</w:t>
            </w:r>
          </w:p>
        </w:tc>
        <w:tc>
          <w:tcPr>
            <w:tcW w:type="dxa" w:w="2880"/>
          </w:tcPr>
          <w:p>
            <w:r>
              <w:rPr>
                <w:sz w:val="20"/>
              </w:rPr>
              <w:t>Record lab results with LOINC codes against an existing encounter.</w:t>
            </w:r>
          </w:p>
        </w:tc>
      </w:tr>
      <w:tr>
        <w:tc>
          <w:tcPr>
            <w:tcW w:type="dxa" w:w="2880"/>
          </w:tcPr>
          <w:p>
            <w:r>
              <w:rPr>
                <w:sz w:val="20"/>
              </w:rPr>
              <w:t>Receptionist</w:t>
            </w:r>
          </w:p>
        </w:tc>
        <w:tc>
          <w:tcPr>
            <w:tcW w:type="dxa" w:w="2880"/>
          </w:tcPr>
          <w:p>
            <w:r>
              <w:rPr>
                <w:sz w:val="20"/>
              </w:rPr>
              <w:t>Administrative human</w:t>
            </w:r>
          </w:p>
        </w:tc>
        <w:tc>
          <w:tcPr>
            <w:tcW w:type="dxa" w:w="2880"/>
          </w:tcPr>
          <w:p>
            <w:r>
              <w:rPr>
                <w:sz w:val="20"/>
              </w:rPr>
              <w:t>Register patients; search the registry; schedule appointments; no access to clinical notes.</w:t>
            </w:r>
          </w:p>
        </w:tc>
      </w:tr>
      <w:tr>
        <w:tc>
          <w:tcPr>
            <w:tcW w:type="dxa" w:w="2880"/>
          </w:tcPr>
          <w:p>
            <w:r>
              <w:rPr>
                <w:sz w:val="20"/>
              </w:rPr>
              <w:t>Hospital Admin</w:t>
            </w:r>
          </w:p>
        </w:tc>
        <w:tc>
          <w:tcPr>
            <w:tcW w:type="dxa" w:w="2880"/>
          </w:tcPr>
          <w:p>
            <w:r>
              <w:rPr>
                <w:sz w:val="20"/>
              </w:rPr>
              <w:t>Administrative human</w:t>
            </w:r>
          </w:p>
        </w:tc>
        <w:tc>
          <w:tcPr>
            <w:tcW w:type="dxa" w:w="2880"/>
          </w:tcPr>
          <w:p>
            <w:r>
              <w:rPr>
                <w:sz w:val="20"/>
              </w:rPr>
              <w:t>Manage staff accounts within their hospital; view hospital-level statistics.</w:t>
            </w:r>
          </w:p>
        </w:tc>
      </w:tr>
      <w:tr>
        <w:tc>
          <w:tcPr>
            <w:tcW w:type="dxa" w:w="2880"/>
          </w:tcPr>
          <w:p>
            <w:r>
              <w:rPr>
                <w:sz w:val="20"/>
              </w:rPr>
              <w:t>System Admin</w:t>
            </w:r>
          </w:p>
        </w:tc>
        <w:tc>
          <w:tcPr>
            <w:tcW w:type="dxa" w:w="2880"/>
          </w:tcPr>
          <w:p>
            <w:r>
              <w:rPr>
                <w:sz w:val="20"/>
              </w:rPr>
              <w:t>Technical human</w:t>
            </w:r>
          </w:p>
        </w:tc>
        <w:tc>
          <w:tcPr>
            <w:tcW w:type="dxa" w:w="2880"/>
          </w:tcPr>
          <w:p>
            <w:r>
              <w:rPr>
                <w:sz w:val="20"/>
              </w:rPr>
              <w:t>Full system access; manage hospitals; view audit trail; verify hash chain.</w:t>
            </w:r>
          </w:p>
        </w:tc>
      </w:tr>
    </w:tbl>
    <w:p/>
    <w:p>
      <w:pPr>
        <w:pStyle w:val="Heading3"/>
      </w:pPr>
      <w:r>
        <w:t>3.10.2 Key Use Cases</w:t>
      </w:r>
    </w:p>
    <w:p>
      <w:pPr>
        <w:spacing w:after="120"/>
        <w:jc w:val="both"/>
      </w:pPr>
      <w:r>
        <w:rPr>
          <w:rFonts w:ascii="Times New Roman" w:hAnsi="Times New Roman"/>
          <w:b w:val="0"/>
          <w:i w:val="0"/>
          <w:sz w:val="24"/>
        </w:rPr>
        <w:t>The primary use cases for the system are:</w:t>
      </w:r>
    </w:p>
    <w:p>
      <w:pPr>
        <w:pStyle w:val="ListNumber"/>
      </w:pPr>
      <w:r>
        <w:rPr>
          <w:rFonts w:ascii="Times New Roman" w:hAnsi="Times New Roman"/>
          <w:sz w:val="24"/>
        </w:rPr>
        <w:t>Patient Registration: Receptionist or clinical staff registers a new patient. EMPI duplicate detection fires on registration.</w:t>
      </w:r>
    </w:p>
    <w:p>
      <w:pPr>
        <w:pStyle w:val="ListNumber"/>
      </w:pPr>
      <w:r>
        <w:rPr>
          <w:rFonts w:ascii="Times New Roman" w:hAnsi="Times New Roman"/>
          <w:sz w:val="24"/>
        </w:rPr>
        <w:t>Cross-Hospital Record Access: Doctor at Hospital B accesses patient registered at Hospital A via TreatmentRelationship or Break-the-Glass.</w:t>
      </w:r>
    </w:p>
    <w:p>
      <w:pPr>
        <w:pStyle w:val="ListNumber"/>
      </w:pPr>
      <w:r>
        <w:rPr>
          <w:rFonts w:ascii="Times New Roman" w:hAnsi="Times New Roman"/>
          <w:sz w:val="24"/>
        </w:rPr>
        <w:t>Clinical Encounter Creation: Doctor or Nurse creates a new encounter, automatically opening a TreatmentRelationship.</w:t>
      </w:r>
    </w:p>
    <w:p>
      <w:pPr>
        <w:pStyle w:val="ListNumber"/>
      </w:pPr>
      <w:r>
        <w:rPr>
          <w:rFonts w:ascii="Times New Roman" w:hAnsi="Times New Roman"/>
          <w:sz w:val="24"/>
        </w:rPr>
        <w:t>Lab Order and Result Entry: Doctor orders a lab test; Lab Technician records the result with LOINC coding.</w:t>
      </w:r>
    </w:p>
    <w:p>
      <w:pPr>
        <w:pStyle w:val="ListNumber"/>
      </w:pPr>
      <w:r>
        <w:rPr>
          <w:rFonts w:ascii="Times New Roman" w:hAnsi="Times New Roman"/>
          <w:sz w:val="24"/>
        </w:rPr>
        <w:t>Audit Chain Verification: System Admin runs verify_audit_chain to confirm log integrity.</w:t>
      </w:r>
    </w:p>
    <w:p>
      <w:pPr>
        <w:pStyle w:val="ListNumber"/>
      </w:pPr>
      <w:r>
        <w:rPr>
          <w:rFonts w:ascii="Times New Roman" w:hAnsi="Times New Roman"/>
          <w:sz w:val="24"/>
        </w:rPr>
        <w:t>AI Clinical Inquiry: Doctor or Nurse submits a grounded query about a patient's records.</w:t>
      </w:r>
    </w:p>
    <w:p>
      <w:pPr>
        <w:pStyle w:val="ListNumber"/>
      </w:pPr>
      <w:r>
        <w:rPr>
          <w:rFonts w:ascii="Times New Roman" w:hAnsi="Times New Roman"/>
          <w:sz w:val="24"/>
        </w:rPr>
        <w:t>FHIR Export: FHIR-capable external system requests the patient's $everything bundle.</w:t>
      </w:r>
    </w:p>
    <w:p>
      <w:r>
        <w:br w:type="page"/>
      </w:r>
    </w:p>
    <w:p>
      <w:pPr>
        <w:pStyle w:val="Heading1"/>
        <w:jc w:val="center"/>
      </w:pPr>
      <w:r>
        <w:t>CHAPTER 4</w:t>
      </w:r>
    </w:p>
    <w:p>
      <w:pPr>
        <w:pStyle w:val="Heading1"/>
        <w:jc w:val="center"/>
      </w:pPr>
      <w:r>
        <w:t>IMPLEMENTATION, TESTING, AND RESULTS</w:t>
      </w:r>
    </w:p>
    <w:p>
      <w:pPr>
        <w:pStyle w:val="Heading2"/>
      </w:pPr>
      <w:r>
        <w:t>4.1 Introduction</w:t>
      </w:r>
    </w:p>
    <w:p>
      <w:pPr>
        <w:spacing w:after="120"/>
        <w:ind w:firstLine="720"/>
        <w:jc w:val="both"/>
      </w:pPr>
      <w:r>
        <w:rPr>
          <w:rFonts w:ascii="Times New Roman" w:hAnsi="Times New Roman"/>
          <w:b w:val="0"/>
          <w:i w:val="0"/>
          <w:sz w:val="24"/>
        </w:rPr>
        <w:t>This chapter documents the implementation of mEd across its backend, frontend, and security subsystems, and presents the results of the automated test suite. The implementation proceeded in iterative sprints, with each feature increment accompanied by a corresponding test suite expansion. The chapter is organised to follow the architecture described in Chapter 3, moving from the backend core through the frontend, security features, and testing.</w:t>
      </w:r>
    </w:p>
    <w:p>
      <w:pPr>
        <w:pStyle w:val="Heading2"/>
      </w:pPr>
      <w:r>
        <w:t>4.2 Backend Implementation</w:t>
      </w:r>
    </w:p>
    <w:p>
      <w:pPr>
        <w:pStyle w:val="Heading3"/>
      </w:pPr>
      <w:r>
        <w:t>4.2.1 Core Encryption Layer (core/fields.py)</w:t>
      </w:r>
    </w:p>
    <w:p>
      <w:pPr>
        <w:spacing w:after="120"/>
        <w:ind w:firstLine="720"/>
        <w:jc w:val="both"/>
      </w:pPr>
      <w:r>
        <w:rPr>
          <w:rFonts w:ascii="Times New Roman" w:hAnsi="Times New Roman"/>
          <w:b w:val="0"/>
          <w:i w:val="0"/>
          <w:sz w:val="24"/>
        </w:rPr>
        <w:t>The most consequential implementation decision in the backend was the field-level encryption architecture. The EncryptedCharField and EncryptedTextField classes extend Django's CharField and TextField respectively, overriding from_db_value() (decrypt on read) and get_prep_value() (encrypt on write). This makes encryption transparent to the rest of the codebase — forms, serializers, and views work with plaintext Python strings; only the database layer ever sees ciphertext.</w:t>
      </w:r>
    </w:p>
    <w:p>
      <w:pPr>
        <w:spacing w:after="120"/>
        <w:ind w:firstLine="720"/>
        <w:jc w:val="both"/>
      </w:pPr>
      <w:r>
        <w:rPr>
          <w:rFonts w:ascii="Times New Roman" w:hAnsi="Times New Roman"/>
          <w:b w:val="0"/>
          <w:i w:val="0"/>
          <w:sz w:val="24"/>
        </w:rPr>
        <w:t>Fernet encryption uses a randomly generated IV for each encryption operation, meaning identical plaintexts produce different ciphertexts on each write. This prevents frequency analysis attacks against the ciphertext columns. The HMAC-SHA256 authentication tag in Fernet ensures that ciphertext corruption or tampering is detected before decryption proceeds.</w:t>
      </w:r>
    </w:p>
    <w:p>
      <w:pPr>
        <w:pStyle w:val="Heading3"/>
      </w:pPr>
      <w:r>
        <w:t>4.2.2 Patient Registry and NHID Generation</w:t>
      </w:r>
    </w:p>
    <w:p>
      <w:pPr>
        <w:spacing w:after="120"/>
        <w:ind w:firstLine="720"/>
        <w:jc w:val="both"/>
      </w:pPr>
      <w:r>
        <w:rPr>
          <w:rFonts w:ascii="Times New Roman" w:hAnsi="Times New Roman"/>
          <w:b w:val="0"/>
          <w:i w:val="0"/>
          <w:sz w:val="24"/>
        </w:rPr>
        <w:t>The NHID is generated using Python's uuid4() function, formatted as NHID-XXXXXXXX where the eight characters are taken from the UUID's hex representation. This produces a globally unique, non-sequential, non-biographical identifier that cannot be enumerated predictably. The universal_id field is stored in plaintext and indexed for O(log n) direct lookup — this is safe because the NHID itself contains no PII.</w:t>
      </w:r>
    </w:p>
    <w:p>
      <w:pPr>
        <w:pStyle w:val="Heading3"/>
      </w:pPr>
      <w:r>
        <w:t>4.2.3 Blind Index Implementation</w:t>
      </w:r>
    </w:p>
    <w:p>
      <w:pPr>
        <w:spacing w:after="120"/>
        <w:ind w:firstLine="720"/>
        <w:jc w:val="both"/>
      </w:pPr>
      <w:r>
        <w:rPr>
          <w:rFonts w:ascii="Times New Roman" w:hAnsi="Times New Roman"/>
          <w:b w:val="0"/>
          <w:i w:val="0"/>
          <w:sz w:val="24"/>
        </w:rPr>
        <w:t>The blind index computation in core/blind_index.py uses Python's hmac module with SHA-256: hmac.new(key=BLIND_INDEX_KEY.encode(), msg=value.encode(), digestmod=sha256).hexdigest(). The key is validated at application startup — in production (DEBUG=False), the application refuses to start if BLIND_INDEX_KEY is absent, equal to SECRET_KEY, or equal to FIELD_ENCRYPTION_KEY. This key separation prevents a single key compromise from enabling both ciphertext decryption and blind index reconstruction.</w:t>
      </w:r>
    </w:p>
    <w:p>
      <w:pPr>
        <w:pStyle w:val="Heading3"/>
      </w:pPr>
      <w:r>
        <w:t>4.2.4 EMPI Duplicate Detection</w:t>
      </w:r>
    </w:p>
    <w:p>
      <w:pPr>
        <w:spacing w:after="120"/>
        <w:ind w:firstLine="720"/>
        <w:jc w:val="both"/>
      </w:pPr>
      <w:r>
        <w:rPr>
          <w:rFonts w:ascii="Times New Roman" w:hAnsi="Times New Roman"/>
          <w:b w:val="0"/>
          <w:i w:val="0"/>
          <w:sz w:val="24"/>
        </w:rPr>
        <w:t>The match_patient() function in patients/empi.py implements the three-tier matching pipeline at patient registration: first, an exact national ID match via the national_id_hash blind index; then, an exact name + DOB match via the name_hash blind index; finally, a phonetic Soundex fallback using the trigram token index to pre-filter candidates before in-memory Soundex comparison. This pipeline runs synchronously at registration and surfaces a prominent duplicate warning in the UI if a match is found, without blocking registration outright.</w:t>
      </w:r>
    </w:p>
    <w:p>
      <w:pPr>
        <w:pStyle w:val="Heading3"/>
      </w:pPr>
      <w:r>
        <w:t>4.2.5 Audit Log Hash Chain</w:t>
      </w:r>
    </w:p>
    <w:p>
      <w:pPr>
        <w:spacing w:after="120"/>
        <w:ind w:firstLine="720"/>
        <w:jc w:val="both"/>
      </w:pPr>
      <w:r>
        <w:rPr>
          <w:rFonts w:ascii="Times New Roman" w:hAnsi="Times New Roman"/>
          <w:b w:val="0"/>
          <w:i w:val="0"/>
          <w:sz w:val="24"/>
        </w:rPr>
        <w:t>The audit chain implementation in audit/models.py and audit/utils.py uses a PostgreSQL advisory lock (pg_advisory_xact_lock with a fixed ID) to serialize audit writes and ensure the prev_hash reference is always accurate. On SQLite (used in testing), table-level locking provides equivalent serialization. The hash computation canonicalises the audit entry's fields as a sorted JSON dict, concatenates this with the previous entry's hash, and computes SHA-256. The python manage.py prune_audit_logs command implements the WORM archival pattern: serialize, hash the archive file, record an AuditLogArchiveAnchor, append to anchor_ledger.jsonl, and atomically delete pruned rows.</w:t>
      </w:r>
    </w:p>
    <w:p>
      <w:pPr>
        <w:pStyle w:val="Heading3"/>
      </w:pPr>
      <w:r>
        <w:t>4.2.6 Break-the-Glass Implementation</w:t>
      </w:r>
    </w:p>
    <w:p>
      <w:pPr>
        <w:spacing w:after="120"/>
        <w:ind w:firstLine="720"/>
        <w:jc w:val="both"/>
      </w:pPr>
      <w:r>
        <w:rPr>
          <w:rFonts w:ascii="Times New Roman" w:hAnsi="Times New Roman"/>
          <w:b w:val="0"/>
          <w:i w:val="0"/>
          <w:sz w:val="24"/>
        </w:rPr>
        <w:t>The BreakGlassView in api/views/patients.py validates the justification length, conditionally re-verifies the user's TOTP token (only if the user has a confirmed TOTP device — this design intentionally avoids blocking emergency access for clinicians who have not yet enrolled MFA), creates a BreakGlassAccess record with a one-hour expiry, and emits a BREAK_GLASS audit entry with the full justification text. The can_access_patient() function evaluates BreakGlassAccess before the consent check, ensuring emergency access is never blocked by consent revocations.</w:t>
      </w:r>
    </w:p>
    <w:p>
      <w:pPr>
        <w:pStyle w:val="Heading3"/>
      </w:pPr>
      <w:r>
        <w:t>4.2.7 AI Clinical Assistant</w:t>
      </w:r>
    </w:p>
    <w:p>
      <w:pPr>
        <w:spacing w:after="120"/>
        <w:ind w:firstLine="720"/>
        <w:jc w:val="both"/>
      </w:pPr>
      <w:r>
        <w:rPr>
          <w:rFonts w:ascii="Times New Roman" w:hAnsi="Times New Roman"/>
          <w:b w:val="0"/>
          <w:i w:val="0"/>
          <w:sz w:val="24"/>
        </w:rPr>
        <w:t>The AI service in ai/service.py synthesises a clinical context string from the patient's decrypted encounters, diagnoses, prescriptions, lab results, and vital signs. This context string — not the raw patient record — is sent to the AI provider. The prompt instructs the model to cite specific records (e.g., [Encounter 1], [Vitals 2026-01-15]) and refuse to answer questions not grounded in the provided context. The service supports two providers: Google Gemini 2.0 Flash (development only) and a local Ollama instance (production, zero PHI egress). Every AI query generates an AI_QUERY audit log entry.</w:t>
      </w:r>
    </w:p>
    <w:p>
      <w:pPr>
        <w:pStyle w:val="Heading3"/>
      </w:pPr>
      <w:r>
        <w:t>4.2.8 FHIR R4 Implementation</w:t>
      </w:r>
    </w:p>
    <w:p>
      <w:pPr>
        <w:spacing w:after="120"/>
        <w:ind w:firstLine="720"/>
        <w:jc w:val="both"/>
      </w:pPr>
      <w:r>
        <w:rPr>
          <w:rFonts w:ascii="Times New Roman" w:hAnsi="Times New Roman"/>
          <w:b w:val="0"/>
          <w:i w:val="0"/>
          <w:sz w:val="24"/>
        </w:rPr>
        <w:t>The FHIR serializer in fhir/serializers.py maps mEd's domain models to HL7 FHIR R4 resource structures. Patient demographics are mapped to FHIR Patient with official identifiers for the NHID and national ID. Encounters map to FHIR Encounter resources; diagnoses to FHIR Condition with ICD-10 and SNOMED CT coding; prescriptions to FHIR MedicationRequest with RxNorm coding; lab results to FHIR Observation with LOINC coding. The $everything bundle assembles all of these into a single FHIR Bundle resource. The fhir.resources Python library is used for schema validation.</w:t>
      </w:r>
    </w:p>
    <w:p>
      <w:pPr>
        <w:pStyle w:val="Heading2"/>
      </w:pPr>
      <w:r>
        <w:t>4.3 Frontend Implementation</w:t>
      </w:r>
    </w:p>
    <w:p>
      <w:pPr>
        <w:pStyle w:val="Heading3"/>
      </w:pPr>
      <w:r>
        <w:t>4.3.1 Technology Choices</w:t>
      </w:r>
    </w:p>
    <w:p>
      <w:pPr>
        <w:spacing w:after="120"/>
        <w:ind w:firstLine="720"/>
        <w:jc w:val="both"/>
      </w:pPr>
      <w:r>
        <w:rPr>
          <w:rFonts w:ascii="Times New Roman" w:hAnsi="Times New Roman"/>
          <w:b w:val="0"/>
          <w:i w:val="0"/>
          <w:sz w:val="24"/>
        </w:rPr>
        <w:t>The frontend is a React 18 Single-Page Application built with Vite 6 and TypeScript. Mantine UI v7 provides the component library — chosen for its comprehensive healthcare-adjacent components (data tables, modals, notifications, charts, date pickers), strong TypeScript support, and active maintenance. TanStack React Query v5 manages server state, caching, and background refetching. Axios handles HTTP requests with request interceptors for CSRF token injection.</w:t>
      </w:r>
    </w:p>
    <w:p>
      <w:pPr>
        <w:pStyle w:val="Heading3"/>
      </w:pPr>
      <w:r>
        <w:t>4.3.2 Role-Based Frontend Routing</w:t>
      </w:r>
    </w:p>
    <w:p>
      <w:pPr>
        <w:spacing w:after="120"/>
        <w:ind w:firstLine="720"/>
        <w:jc w:val="both"/>
      </w:pPr>
      <w:r>
        <w:rPr>
          <w:rFonts w:ascii="Times New Roman" w:hAnsi="Times New Roman"/>
          <w:b w:val="0"/>
          <w:i w:val="0"/>
          <w:sz w:val="24"/>
        </w:rPr>
        <w:t>The RequireRole component wraps protected route groups and redirects unauthorized users to the appropriate error page. Role constants are defined in constants/roles.ts using the same snake_case values as the backend. Every page that renders clinical data first checks the user's role from the AuthContext and refuses to render if the role is insufficient — this is defense-in-depth, since the API already enforces RBAC. The sidebar navigation renders different sections depending on role: Doctors see a clinical workflow sidebar; Receptionists see a front-desk sidebar; Lab Technicians see a laboratory worklist sidebar.</w:t>
      </w:r>
    </w:p>
    <w:p>
      <w:pPr>
        <w:pStyle w:val="Heading3"/>
      </w:pPr>
      <w:r>
        <w:t>4.3.3 Patient Chart and Clinical Workflow</w:t>
      </w:r>
    </w:p>
    <w:p>
      <w:pPr>
        <w:spacing w:after="120"/>
        <w:ind w:firstLine="720"/>
        <w:jc w:val="both"/>
      </w:pPr>
      <w:r>
        <w:rPr>
          <w:rFonts w:ascii="Times New Roman" w:hAnsi="Times New Roman"/>
          <w:b w:val="0"/>
          <w:i w:val="0"/>
          <w:sz w:val="24"/>
        </w:rPr>
        <w:t>The patient chart page (pages/patients/PatientDetailPage.tsx) is the central clinical interface. It renders a tabbed view: Overview, Encounters, Diagnoses, Prescriptions, Labs, Vitals, MAR, with tab visibility gated by role. When a cross-hospital access is in effect, a prominent amber banner is displayed throughout the session. When a Break-the-Glass grant is active, the banner is upgraded to red with the remaining access window displayed in real time.</w:t>
      </w:r>
    </w:p>
    <w:p>
      <w:pPr>
        <w:pStyle w:val="Heading3"/>
      </w:pPr>
      <w:r>
        <w:t>4.3.4 Audit Log Visualiser</w:t>
      </w:r>
    </w:p>
    <w:p>
      <w:pPr>
        <w:spacing w:after="120"/>
        <w:ind w:firstLine="720"/>
        <w:jc w:val="both"/>
      </w:pPr>
      <w:r>
        <w:rPr>
          <w:rFonts w:ascii="Times New Roman" w:hAnsi="Times New Roman"/>
          <w:b w:val="0"/>
          <w:i w:val="0"/>
          <w:sz w:val="24"/>
        </w:rPr>
        <w:t>The System Admin audit log page (pages/admin/AdminAuditPage.tsx) renders the full audit trail with filters for date range, actor, hospital, action type, and cross-hospital flag. The hash chain verification status is displayed as a node graph — each audit entry appears as a node coloured green (valid) or red (tampered). The [Validate Chain] button calls POST /api/audit/validate-chain/ and updates the visualisation in real time.</w:t>
      </w:r>
    </w:p>
    <w:p>
      <w:pPr>
        <w:pStyle w:val="Heading2"/>
      </w:pPr>
      <w:r>
        <w:t>4.4 Security Feature Implementation</w:t>
      </w:r>
    </w:p>
    <w:p>
      <w:pPr>
        <w:pStyle w:val="Heading3"/>
      </w:pPr>
      <w:r>
        <w:t>4.4.1 Database-Level Immutability Trigger</w:t>
      </w:r>
    </w:p>
    <w:p>
      <w:pPr>
        <w:spacing w:after="120"/>
        <w:ind w:firstLine="720"/>
        <w:jc w:val="both"/>
      </w:pPr>
      <w:r>
        <w:rPr>
          <w:rFonts w:ascii="Times New Roman" w:hAnsi="Times New Roman"/>
          <w:b w:val="0"/>
          <w:i w:val="0"/>
          <w:sz w:val="24"/>
        </w:rPr>
        <w:t>The PostgreSQL immutability trigger is applied via a Django migration (audit/migrations/0003_auditlog_immutability_trigger.py). The trigger fires BEFORE UPDATE OR DELETE on the audit_auditlog table and raises a Postgres exception — meaning that even a direct SQL DELETE executed by a database administrator will be rejected by the database engine. During the prune_audit_logs command, the trigger is temporarily disabled within an atomic transaction, re-enabled after the deletion, and an audit anchor is committed to preserve chain continuity.</w:t>
      </w:r>
    </w:p>
    <w:p>
      <w:pPr>
        <w:pStyle w:val="Heading3"/>
      </w:pPr>
      <w:r>
        <w:t>4.4.2 Row-Level Security Policies</w:t>
      </w:r>
    </w:p>
    <w:p>
      <w:pPr>
        <w:spacing w:after="120"/>
        <w:ind w:firstLine="720"/>
        <w:jc w:val="both"/>
      </w:pPr>
      <w:r>
        <w:rPr>
          <w:rFonts w:ascii="Times New Roman" w:hAnsi="Times New Roman"/>
          <w:b w:val="0"/>
          <w:i w:val="0"/>
          <w:sz w:val="24"/>
        </w:rPr>
        <w:t>RLS policies are applied to audit_auditlog and records_encounter via dedicated migrations. The RLSContextMiddleware in core/middleware.py sets the three GUC variables (app.user_id, app.hospital_id, app.is_admin) at the start of each request and resets them to safe defaults in a try/finally block, ensuring pooled connections never carry stale identity between requests. Management commands and the Django admin shell use the rls_bypass() context manager (sets app.bypass_rls = 'on') to bypass RLS for administrative operations.</w:t>
      </w:r>
    </w:p>
    <w:p>
      <w:pPr>
        <w:pStyle w:val="Heading3"/>
      </w:pPr>
      <w:r>
        <w:t>4.4.3 Encryption Key Management</w:t>
      </w:r>
    </w:p>
    <w:p>
      <w:pPr>
        <w:spacing w:after="120"/>
        <w:ind w:firstLine="720"/>
        <w:jc w:val="both"/>
      </w:pPr>
      <w:r>
        <w:rPr>
          <w:rFonts w:ascii="Times New Roman" w:hAnsi="Times New Roman"/>
          <w:b w:val="0"/>
          <w:i w:val="0"/>
          <w:sz w:val="24"/>
        </w:rPr>
        <w:t>The application supports multi-key Fernet (MultiFernet) via the FIELD_ENCRYPTION_KEYS environment variable — a comma-separated list of keys, new key first. This enables zero-downtime key rotation: the application encrypts with the first key and decrypts with any key in the list. After adding a new key and restarting, the python manage.py reencrypt_fields command re-encrypts all existing records with the new primary key. The old key can then be removed and the application restarted again.</w:t>
      </w:r>
    </w:p>
    <w:p>
      <w:pPr>
        <w:pStyle w:val="Heading2"/>
      </w:pPr>
      <w:r>
        <w:t>4.5 Testing Strategy and Results</w:t>
      </w:r>
    </w:p>
    <w:p>
      <w:pPr>
        <w:pStyle w:val="Heading3"/>
      </w:pPr>
      <w:r>
        <w:t>4.5.1 Test Architecture</w:t>
      </w:r>
    </w:p>
    <w:p>
      <w:pPr>
        <w:spacing w:after="120"/>
        <w:ind w:firstLine="720"/>
        <w:jc w:val="both"/>
      </w:pPr>
      <w:r>
        <w:rPr>
          <w:rFonts w:ascii="Times New Roman" w:hAnsi="Times New Roman"/>
          <w:b w:val="0"/>
          <w:i w:val="0"/>
          <w:sz w:val="24"/>
        </w:rPr>
        <w:t>The test suite is split across two codebases. The backend suite (391 tests, run with pytest and pytest-django) covers models, views, serializers, encryption roundtrips, RBAC boundaries, and security-critical flows. The frontend suite (27 tests, run with Vitest and React Testing Library) covers role guard components, API client modules, and key UI interactions. Backend tests run against in-memory SQLite, with two Postgres RLS tests skipped on SQLite (they require a PostgreSQL connection).</w:t>
      </w:r>
    </w:p>
    <w:p>
      <w:pPr>
        <w:pStyle w:val="Heading3"/>
      </w:pPr>
      <w:r>
        <w:t>4.5.2 Backend Test Results (391 tests passing)</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Test Category</w:t>
            </w:r>
          </w:p>
        </w:tc>
        <w:tc>
          <w:tcPr>
            <w:tcW w:type="dxa" w:w="2880"/>
          </w:tcPr>
          <w:p>
            <w:pPr>
              <w:jc w:val="center"/>
            </w:pPr>
            <w:r>
              <w:rPr>
                <w:b/>
                <w:sz w:val="20"/>
              </w:rPr>
              <w:t>Count</w:t>
            </w:r>
          </w:p>
        </w:tc>
        <w:tc>
          <w:tcPr>
            <w:tcW w:type="dxa" w:w="2880"/>
          </w:tcPr>
          <w:p>
            <w:pPr>
              <w:jc w:val="center"/>
            </w:pPr>
            <w:r>
              <w:rPr>
                <w:b/>
                <w:sz w:val="20"/>
              </w:rPr>
              <w:t>What Is Verified</w:t>
            </w:r>
          </w:p>
        </w:tc>
      </w:tr>
      <w:tr>
        <w:tc>
          <w:tcPr>
            <w:tcW w:type="dxa" w:w="2880"/>
          </w:tcPr>
          <w:p>
            <w:r>
              <w:rPr>
                <w:sz w:val="20"/>
              </w:rPr>
              <w:t>RBAC Boundaries</w:t>
            </w:r>
          </w:p>
        </w:tc>
        <w:tc>
          <w:tcPr>
            <w:tcW w:type="dxa" w:w="2880"/>
          </w:tcPr>
          <w:p>
            <w:r>
              <w:rPr>
                <w:sz w:val="20"/>
              </w:rPr>
              <w:t>~85</w:t>
            </w:r>
          </w:p>
        </w:tc>
        <w:tc>
          <w:tcPr>
            <w:tcW w:type="dxa" w:w="2880"/>
          </w:tcPr>
          <w:p>
            <w:r>
              <w:rPr>
                <w:sz w:val="20"/>
              </w:rPr>
              <w:t>Deny-by-default access policies across all 6 roles; strict tenant/hospital boundary scoping.</w:t>
            </w:r>
          </w:p>
        </w:tc>
      </w:tr>
      <w:tr>
        <w:tc>
          <w:tcPr>
            <w:tcW w:type="dxa" w:w="2880"/>
          </w:tcPr>
          <w:p>
            <w:r>
              <w:rPr>
                <w:sz w:val="20"/>
              </w:rPr>
              <w:t>Field-Level Encryption</w:t>
            </w:r>
          </w:p>
        </w:tc>
        <w:tc>
          <w:tcPr>
            <w:tcW w:type="dxa" w:w="2880"/>
          </w:tcPr>
          <w:p>
            <w:r>
              <w:rPr>
                <w:sz w:val="20"/>
              </w:rPr>
              <w:t>~40</w:t>
            </w:r>
          </w:p>
        </w:tc>
        <w:tc>
          <w:tcPr>
            <w:tcW w:type="dxa" w:w="2880"/>
          </w:tcPr>
          <w:p>
            <w:r>
              <w:rPr>
                <w:sz w:val="20"/>
              </w:rPr>
              <w:t>Fernet roundtrip correctness, ciphertext is not plaintext, key separation.</w:t>
            </w:r>
          </w:p>
        </w:tc>
      </w:tr>
      <w:tr>
        <w:tc>
          <w:tcPr>
            <w:tcW w:type="dxa" w:w="2880"/>
          </w:tcPr>
          <w:p>
            <w:r>
              <w:rPr>
                <w:sz w:val="20"/>
              </w:rPr>
              <w:t>Blind Indexing</w:t>
            </w:r>
          </w:p>
        </w:tc>
        <w:tc>
          <w:tcPr>
            <w:tcW w:type="dxa" w:w="2880"/>
          </w:tcPr>
          <w:p>
            <w:r>
              <w:rPr>
                <w:sz w:val="20"/>
              </w:rPr>
              <w:t>~25</w:t>
            </w:r>
          </w:p>
        </w:tc>
        <w:tc>
          <w:tcPr>
            <w:tcW w:type="dxa" w:w="2880"/>
          </w:tcPr>
          <w:p>
            <w:r>
              <w:rPr>
                <w:sz w:val="20"/>
              </w:rPr>
              <w:t>Consistent HMAC-SHA256 generation, key separation enforcement.</w:t>
            </w:r>
          </w:p>
        </w:tc>
      </w:tr>
      <w:tr>
        <w:tc>
          <w:tcPr>
            <w:tcW w:type="dxa" w:w="2880"/>
          </w:tcPr>
          <w:p>
            <w:r>
              <w:rPr>
                <w:sz w:val="20"/>
              </w:rPr>
              <w:t>Break-the-Glass</w:t>
            </w:r>
          </w:p>
        </w:tc>
        <w:tc>
          <w:tcPr>
            <w:tcW w:type="dxa" w:w="2880"/>
          </w:tcPr>
          <w:p>
            <w:r>
              <w:rPr>
                <w:sz w:val="20"/>
              </w:rPr>
              <w:t>~30</w:t>
            </w:r>
          </w:p>
        </w:tc>
        <w:tc>
          <w:tcPr>
            <w:tcW w:type="dxa" w:w="2880"/>
          </w:tcPr>
          <w:p>
            <w:r>
              <w:rPr>
                <w:sz w:val="20"/>
              </w:rPr>
              <w:t>Justification validation, 1-hour TTL, mandatory audit log creation.</w:t>
            </w:r>
          </w:p>
        </w:tc>
      </w:tr>
      <w:tr>
        <w:tc>
          <w:tcPr>
            <w:tcW w:type="dxa" w:w="2880"/>
          </w:tcPr>
          <w:p>
            <w:r>
              <w:rPr>
                <w:sz w:val="20"/>
              </w:rPr>
              <w:t>Audit Chain</w:t>
            </w:r>
          </w:p>
        </w:tc>
        <w:tc>
          <w:tcPr>
            <w:tcW w:type="dxa" w:w="2880"/>
          </w:tcPr>
          <w:p>
            <w:r>
              <w:rPr>
                <w:sz w:val="20"/>
              </w:rPr>
              <w:t>~35</w:t>
            </w:r>
          </w:p>
        </w:tc>
        <w:tc>
          <w:tcPr>
            <w:tcW w:type="dxa" w:w="2880"/>
          </w:tcPr>
          <w:p>
            <w:r>
              <w:rPr>
                <w:sz w:val="20"/>
              </w:rPr>
              <w:t>Hash chain integrity, immutability enforcement, WORM archival.</w:t>
            </w:r>
          </w:p>
        </w:tc>
      </w:tr>
      <w:tr>
        <w:tc>
          <w:tcPr>
            <w:tcW w:type="dxa" w:w="2880"/>
          </w:tcPr>
          <w:p>
            <w:r>
              <w:rPr>
                <w:sz w:val="20"/>
              </w:rPr>
              <w:t>EMPI Duplicate Detection</w:t>
            </w:r>
          </w:p>
        </w:tc>
        <w:tc>
          <w:tcPr>
            <w:tcW w:type="dxa" w:w="2880"/>
          </w:tcPr>
          <w:p>
            <w:r>
              <w:rPr>
                <w:sz w:val="20"/>
              </w:rPr>
              <w:t>~20</w:t>
            </w:r>
          </w:p>
        </w:tc>
        <w:tc>
          <w:tcPr>
            <w:tcW w:type="dxa" w:w="2880"/>
          </w:tcPr>
          <w:p>
            <w:r>
              <w:rPr>
                <w:sz w:val="20"/>
              </w:rPr>
              <w:t>National ID match, name+DOB match, Soundex fallback.</w:t>
            </w:r>
          </w:p>
        </w:tc>
      </w:tr>
      <w:tr>
        <w:tc>
          <w:tcPr>
            <w:tcW w:type="dxa" w:w="2880"/>
          </w:tcPr>
          <w:p>
            <w:r>
              <w:rPr>
                <w:sz w:val="20"/>
              </w:rPr>
              <w:t>FHIR Serialisation</w:t>
            </w:r>
          </w:p>
        </w:tc>
        <w:tc>
          <w:tcPr>
            <w:tcW w:type="dxa" w:w="2880"/>
          </w:tcPr>
          <w:p>
            <w:r>
              <w:rPr>
                <w:sz w:val="20"/>
              </w:rPr>
              <w:t>~25</w:t>
            </w:r>
          </w:p>
        </w:tc>
        <w:tc>
          <w:tcPr>
            <w:tcW w:type="dxa" w:w="2880"/>
          </w:tcPr>
          <w:p>
            <w:r>
              <w:rPr>
                <w:sz w:val="20"/>
              </w:rPr>
              <w:t>Patient, Encounter, Condition, MedicationRequest, Observation resource formats.</w:t>
            </w:r>
          </w:p>
        </w:tc>
      </w:tr>
      <w:tr>
        <w:tc>
          <w:tcPr>
            <w:tcW w:type="dxa" w:w="2880"/>
          </w:tcPr>
          <w:p>
            <w:r>
              <w:rPr>
                <w:sz w:val="20"/>
              </w:rPr>
              <w:t>Clinical Record CRUD</w:t>
            </w:r>
          </w:p>
        </w:tc>
        <w:tc>
          <w:tcPr>
            <w:tcW w:type="dxa" w:w="2880"/>
          </w:tcPr>
          <w:p>
            <w:r>
              <w:rPr>
                <w:sz w:val="20"/>
              </w:rPr>
              <w:t>~80</w:t>
            </w:r>
          </w:p>
        </w:tc>
        <w:tc>
          <w:tcPr>
            <w:tcW w:type="dxa" w:w="2880"/>
          </w:tcPr>
          <w:p>
            <w:r>
              <w:rPr>
                <w:sz w:val="20"/>
              </w:rPr>
              <w:t>Encounter, Diagnosis, Prescription, LabResult, Vitals creation and retrieval.</w:t>
            </w:r>
          </w:p>
        </w:tc>
      </w:tr>
      <w:tr>
        <w:tc>
          <w:tcPr>
            <w:tcW w:type="dxa" w:w="2880"/>
          </w:tcPr>
          <w:p>
            <w:r>
              <w:rPr>
                <w:sz w:val="20"/>
              </w:rPr>
              <w:t>AI Assistant</w:t>
            </w:r>
          </w:p>
        </w:tc>
        <w:tc>
          <w:tcPr>
            <w:tcW w:type="dxa" w:w="2880"/>
          </w:tcPr>
          <w:p>
            <w:r>
              <w:rPr>
                <w:sz w:val="20"/>
              </w:rPr>
              <w:t>~20</w:t>
            </w:r>
          </w:p>
        </w:tc>
        <w:tc>
          <w:tcPr>
            <w:tcW w:type="dxa" w:w="2880"/>
          </w:tcPr>
          <w:p>
            <w:r>
              <w:rPr>
                <w:sz w:val="20"/>
              </w:rPr>
              <w:t>Context synthesis, prompt guardrails, citation enforcement.</w:t>
            </w:r>
          </w:p>
        </w:tc>
      </w:tr>
      <w:tr>
        <w:tc>
          <w:tcPr>
            <w:tcW w:type="dxa" w:w="2880"/>
          </w:tcPr>
          <w:p>
            <w:r>
              <w:rPr>
                <w:sz w:val="20"/>
              </w:rPr>
              <w:t>Authentication and MFA</w:t>
            </w:r>
          </w:p>
        </w:tc>
        <w:tc>
          <w:tcPr>
            <w:tcW w:type="dxa" w:w="2880"/>
          </w:tcPr>
          <w:p>
            <w:r>
              <w:rPr>
                <w:sz w:val="20"/>
              </w:rPr>
              <w:t>~31</w:t>
            </w:r>
          </w:p>
        </w:tc>
        <w:tc>
          <w:tcPr>
            <w:tcW w:type="dxa" w:w="2880"/>
          </w:tcPr>
          <w:p>
            <w:r>
              <w:rPr>
                <w:sz w:val="20"/>
              </w:rPr>
              <w:t>Login, TOTP flow, brute-force lockout, recovery codes.</w:t>
            </w:r>
          </w:p>
        </w:tc>
      </w:tr>
    </w:tbl>
    <w:p/>
    <w:p>
      <w:pPr>
        <w:pStyle w:val="Heading3"/>
      </w:pPr>
      <w:r>
        <w:t>4.5.3 Frontend Test Results (27 tests passing)</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Test Category</w:t>
            </w:r>
          </w:p>
        </w:tc>
        <w:tc>
          <w:tcPr>
            <w:tcW w:type="dxa" w:w="2880"/>
          </w:tcPr>
          <w:p>
            <w:pPr>
              <w:jc w:val="center"/>
            </w:pPr>
            <w:r>
              <w:rPr>
                <w:b/>
                <w:sz w:val="20"/>
              </w:rPr>
              <w:t>Count</w:t>
            </w:r>
          </w:p>
        </w:tc>
        <w:tc>
          <w:tcPr>
            <w:tcW w:type="dxa" w:w="2880"/>
          </w:tcPr>
          <w:p>
            <w:pPr>
              <w:jc w:val="center"/>
            </w:pPr>
            <w:r>
              <w:rPr>
                <w:b/>
                <w:sz w:val="20"/>
              </w:rPr>
              <w:t>What Is Verified</w:t>
            </w:r>
          </w:p>
        </w:tc>
      </w:tr>
      <w:tr>
        <w:tc>
          <w:tcPr>
            <w:tcW w:type="dxa" w:w="2880"/>
          </w:tcPr>
          <w:p>
            <w:r>
              <w:rPr>
                <w:sz w:val="20"/>
              </w:rPr>
              <w:t>Role Guard Components</w:t>
            </w:r>
          </w:p>
        </w:tc>
        <w:tc>
          <w:tcPr>
            <w:tcW w:type="dxa" w:w="2880"/>
          </w:tcPr>
          <w:p>
            <w:r>
              <w:rPr>
                <w:sz w:val="20"/>
              </w:rPr>
              <w:t>12</w:t>
            </w:r>
          </w:p>
        </w:tc>
        <w:tc>
          <w:tcPr>
            <w:tcW w:type="dxa" w:w="2880"/>
          </w:tcPr>
          <w:p>
            <w:r>
              <w:rPr>
                <w:sz w:val="20"/>
              </w:rPr>
              <w:t>RequireRole redirects for all role combinations.</w:t>
            </w:r>
          </w:p>
        </w:tc>
      </w:tr>
      <w:tr>
        <w:tc>
          <w:tcPr>
            <w:tcW w:type="dxa" w:w="2880"/>
          </w:tcPr>
          <w:p>
            <w:r>
              <w:rPr>
                <w:sz w:val="20"/>
              </w:rPr>
              <w:t>API Client Modules</w:t>
            </w:r>
          </w:p>
        </w:tc>
        <w:tc>
          <w:tcPr>
            <w:tcW w:type="dxa" w:w="2880"/>
          </w:tcPr>
          <w:p>
            <w:r>
              <w:rPr>
                <w:sz w:val="20"/>
              </w:rPr>
              <w:t>10</w:t>
            </w:r>
          </w:p>
        </w:tc>
        <w:tc>
          <w:tcPr>
            <w:tcW w:type="dxa" w:w="2880"/>
          </w:tcPr>
          <w:p>
            <w:r>
              <w:rPr>
                <w:sz w:val="20"/>
              </w:rPr>
              <w:t>Axios configuration, CSRF injection, error handling.</w:t>
            </w:r>
          </w:p>
        </w:tc>
      </w:tr>
      <w:tr>
        <w:tc>
          <w:tcPr>
            <w:tcW w:type="dxa" w:w="2880"/>
          </w:tcPr>
          <w:p>
            <w:r>
              <w:rPr>
                <w:sz w:val="20"/>
              </w:rPr>
              <w:t>Key UI Interactions</w:t>
            </w:r>
          </w:p>
        </w:tc>
        <w:tc>
          <w:tcPr>
            <w:tcW w:type="dxa" w:w="2880"/>
          </w:tcPr>
          <w:p>
            <w:r>
              <w:rPr>
                <w:sz w:val="20"/>
              </w:rPr>
              <w:t>5</w:t>
            </w:r>
          </w:p>
        </w:tc>
        <w:tc>
          <w:tcPr>
            <w:tcW w:type="dxa" w:w="2880"/>
          </w:tcPr>
          <w:p>
            <w:r>
              <w:rPr>
                <w:sz w:val="20"/>
              </w:rPr>
              <w:t>Break-glass form validation, audit log filter interactions.</w:t>
            </w:r>
          </w:p>
        </w:tc>
      </w:tr>
    </w:tbl>
    <w:p/>
    <w:p>
      <w:pPr>
        <w:pStyle w:val="Heading3"/>
      </w:pPr>
      <w:r>
        <w:t>4.5.4 Security Test Results</w:t>
      </w:r>
    </w:p>
    <w:p>
      <w:pPr>
        <w:spacing w:after="120"/>
        <w:ind w:firstLine="720"/>
        <w:jc w:val="both"/>
      </w:pPr>
      <w:r>
        <w:rPr>
          <w:rFonts w:ascii="Times New Roman" w:hAnsi="Times New Roman"/>
          <w:b w:val="0"/>
          <w:i w:val="0"/>
          <w:sz w:val="24"/>
        </w:rPr>
        <w:t>Beyond the automated tests, manual security verification was performed against each STRIDE threat category. The verification covered: direct database query confirmation that patient fields contain only Fernet ciphertext; hash chain verification with verify_audit_chain after manual entries; RBAC boundary testing by attempting to access clinical endpoints as a Receptionist role; Break-the-Glass flow with and without enrolled TOTP; and confirmation that the Postgres immutability trigger blocks direct SQL DELETE attempts.</w:t>
      </w:r>
    </w:p>
    <w:p>
      <w:pPr>
        <w:pStyle w:val="Heading2"/>
      </w:pPr>
      <w:r>
        <w:t>4.6 System Performance and Evaluation</w:t>
      </w:r>
    </w:p>
    <w:p>
      <w:pPr>
        <w:spacing w:after="120"/>
        <w:ind w:firstLine="720"/>
        <w:jc w:val="both"/>
      </w:pPr>
      <w:r>
        <w:rPr>
          <w:rFonts w:ascii="Times New Roman" w:hAnsi="Times New Roman"/>
          <w:b w:val="0"/>
          <w:i w:val="0"/>
          <w:sz w:val="24"/>
        </w:rPr>
        <w:t>Performance profiling was conducted on the demo dataset (approximately 50 patients, 200 encounters). Single-patient record fetches (including decryption of all encrypted fields) completed consistently under 80ms on the development server — well within the p95 &lt; 500ms non-functional requirement.</w:t>
      </w:r>
    </w:p>
    <w:p>
      <w:pPr>
        <w:spacing w:after="120"/>
        <w:ind w:firstLine="720"/>
        <w:jc w:val="both"/>
      </w:pPr>
      <w:r>
        <w:rPr>
          <w:rFonts w:ascii="Times New Roman" w:hAnsi="Times New Roman"/>
          <w:b w:val="0"/>
          <w:i w:val="0"/>
          <w:sz w:val="24"/>
        </w:rPr>
        <w:t>The primary identified performance bottleneck is partial-name search: the O(n) in-memory decryption scan over all patients takes approximately 60-90ms on the 50-patient demo dataset. On a production registry with thousands of patients, this would be unacceptable. The trigram token index (PatientSearchToken) was implemented to address this at larger scale, though it carries the entropy trade-offs documented in the known limitations.</w:t>
      </w:r>
    </w:p>
    <w:p>
      <w:pPr>
        <w:spacing w:after="120"/>
        <w:ind w:firstLine="720"/>
        <w:jc w:val="both"/>
      </w:pPr>
      <w:r>
        <w:rPr>
          <w:rFonts w:ascii="Times New Roman" w:hAnsi="Times New Roman"/>
          <w:b w:val="0"/>
          <w:i w:val="0"/>
          <w:sz w:val="24"/>
        </w:rPr>
        <w:t>Audit log write latency averages 8-15ms per entry on SQLite in testing. On PostgreSQL with the advisory lock, this increases slightly due to lock contention simulation, but remains within acceptable bounds for the pilot deployment scale.</w:t>
      </w:r>
    </w:p>
    <w:p>
      <w:r>
        <w:br w:type="page"/>
      </w:r>
    </w:p>
    <w:p>
      <w:pPr>
        <w:pStyle w:val="Heading1"/>
        <w:jc w:val="center"/>
      </w:pPr>
      <w:r>
        <w:t>CHAPTER 5</w:t>
      </w:r>
    </w:p>
    <w:p>
      <w:pPr>
        <w:pStyle w:val="Heading1"/>
        <w:jc w:val="center"/>
      </w:pPr>
      <w:r>
        <w:t>FINDINGS, CONCLUSIONS, AND RECOMMENDATIONS</w:t>
      </w:r>
    </w:p>
    <w:p>
      <w:pPr>
        <w:pStyle w:val="Heading2"/>
      </w:pPr>
      <w:r>
        <w:t>5.1 Introduction</w:t>
      </w:r>
    </w:p>
    <w:p>
      <w:pPr>
        <w:spacing w:after="120"/>
        <w:ind w:firstLine="720"/>
        <w:jc w:val="both"/>
      </w:pPr>
      <w:r>
        <w:rPr>
          <w:rFonts w:ascii="Times New Roman" w:hAnsi="Times New Roman"/>
          <w:b w:val="0"/>
          <w:i w:val="0"/>
          <w:sz w:val="24"/>
        </w:rPr>
        <w:t>This chapter reflects on what the project actually achieved, where it fell short, what was learned in the process, and what should come next. The goal is honesty rather than advocacy — a project that documents its own limitations with the same rigour it applies to its successes is more useful, as a reference point, than one that papers over the hard parts.</w:t>
      </w:r>
    </w:p>
    <w:p>
      <w:pPr>
        <w:pStyle w:val="Heading2"/>
      </w:pPr>
      <w:r>
        <w:t>5.2 Summary of Findings</w:t>
      </w:r>
    </w:p>
    <w:p>
      <w:pPr>
        <w:spacing w:after="120"/>
        <w:ind w:firstLine="720"/>
        <w:jc w:val="both"/>
      </w:pPr>
      <w:r>
        <w:rPr>
          <w:rFonts w:ascii="Times New Roman" w:hAnsi="Times New Roman"/>
          <w:b w:val="0"/>
          <w:i w:val="0"/>
          <w:sz w:val="24"/>
        </w:rPr>
        <w:t>The project successfully demonstrates that a secure, inter-hospital EMR system can be built on open-source components within an academic timeframe. Several findings are worth highlighting specifically.</w:t>
      </w:r>
    </w:p>
    <w:p>
      <w:pPr>
        <w:pStyle w:val="Heading3"/>
      </w:pPr>
      <w:r>
        <w:t>5.2.1 Application-Layer Field Encryption is Viable and Practical</w:t>
      </w:r>
    </w:p>
    <w:p>
      <w:pPr>
        <w:spacing w:after="120"/>
        <w:ind w:firstLine="720"/>
        <w:jc w:val="both"/>
      </w:pPr>
      <w:r>
        <w:rPr>
          <w:rFonts w:ascii="Times New Roman" w:hAnsi="Times New Roman"/>
          <w:b w:val="0"/>
          <w:i w:val="0"/>
          <w:sz w:val="24"/>
        </w:rPr>
        <w:t>The combination of EncryptedCharField / EncryptedTextField with Fernet worked cleanly in practice. The encryption layer is genuinely transparent to the rest of the codebase — no view or serializer needs to know that the underlying data is encrypted. The only visible cost is the loss of database-level sorting and range-querying on encrypted columns, which is a real trade-off but one that is manageable through the blind-index architecture for the search use cases that matter clinically.</w:t>
      </w:r>
    </w:p>
    <w:p>
      <w:pPr>
        <w:pStyle w:val="Heading3"/>
      </w:pPr>
      <w:r>
        <w:t>5.2.2 The Break-the-Glass Design is Genuinely Complex</w:t>
      </w:r>
    </w:p>
    <w:p>
      <w:pPr>
        <w:spacing w:after="120"/>
        <w:ind w:firstLine="720"/>
        <w:jc w:val="both"/>
      </w:pPr>
      <w:r>
        <w:rPr>
          <w:rFonts w:ascii="Times New Roman" w:hAnsi="Times New Roman"/>
          <w:b w:val="0"/>
          <w:i w:val="0"/>
          <w:sz w:val="24"/>
        </w:rPr>
        <w:t>The break-glass workflow went through three design iterations. The core tension — clinical urgency demands never blocking emergency access; security demands every access be justified and verified — does not have a clean resolution. The implemented design (TOTP re-verification conditional on whether the clinician has enrolled a TOTP device) is a pragmatic compromise that accepts some residual risk in exchange for clinical safety. This residual risk is documented honestly in the known limitations and mitigated by mandatory audit logging of the mfa_reverified flag.</w:t>
      </w:r>
    </w:p>
    <w:p>
      <w:pPr>
        <w:pStyle w:val="Heading3"/>
      </w:pPr>
      <w:r>
        <w:t>5.2.3 The Audit Hash Chain Works but Introduces Concurrency Constraints</w:t>
      </w:r>
    </w:p>
    <w:p>
      <w:pPr>
        <w:spacing w:after="120"/>
        <w:ind w:firstLine="720"/>
        <w:jc w:val="both"/>
      </w:pPr>
      <w:r>
        <w:rPr>
          <w:rFonts w:ascii="Times New Roman" w:hAnsi="Times New Roman"/>
          <w:b w:val="0"/>
          <w:i w:val="0"/>
          <w:sz w:val="24"/>
        </w:rPr>
        <w:t>The SHA-256 hash chain provides strong tamper evidence, but the implementation requires serialized writes (one transaction at a time, via the PostgreSQL advisory lock). At prototype scale, this is invisible. At national-scale deployment with hundreds of concurrent clinical users across multiple hospitals, the single global lock would become a bottleneck. The per-hospital hash chain partitioning (acquiring separate advisory locks per hospital_id) is the documented mitigation path and is architecturally straightforward to implement.</w:t>
      </w:r>
    </w:p>
    <w:p>
      <w:pPr>
        <w:pStyle w:val="Heading3"/>
      </w:pPr>
      <w:r>
        <w:t>5.2.4 FHIR R4 Integration is Achievable but Scope is Limited</w:t>
      </w:r>
    </w:p>
    <w:p>
      <w:pPr>
        <w:spacing w:after="120"/>
        <w:ind w:firstLine="720"/>
        <w:jc w:val="both"/>
      </w:pPr>
      <w:r>
        <w:rPr>
          <w:rFonts w:ascii="Times New Roman" w:hAnsi="Times New Roman"/>
          <w:b w:val="0"/>
          <w:i w:val="0"/>
          <w:sz w:val="24"/>
        </w:rPr>
        <w:t>The read-only FHIR R4 implementation covers the most clinically useful endpoints: the Patient resource and the $everything bundle. Full FHIR read-write capability, SMART on FHIR machine-to-machine authorisation, and HL7 v2 lab result feeds are out of scope for this version. The FHIR implementation as delivered is sufficient for external systems to read patient records in a standards-compliant format — but it is not a complete FHIR server.</w:t>
      </w:r>
    </w:p>
    <w:p>
      <w:pPr>
        <w:pStyle w:val="Heading2"/>
      </w:pPr>
      <w:r>
        <w:t>5.3 Conclusions</w:t>
      </w:r>
    </w:p>
    <w:p>
      <w:pPr>
        <w:spacing w:after="120"/>
        <w:ind w:firstLine="720"/>
        <w:jc w:val="both"/>
      </w:pPr>
      <w:r>
        <w:rPr>
          <w:rFonts w:ascii="Times New Roman" w:hAnsi="Times New Roman"/>
          <w:b w:val="0"/>
          <w:i w:val="0"/>
          <w:sz w:val="24"/>
        </w:rPr>
        <w:t>mEd demonstrates that the core technical problems of inter-hospital EMR — centralised patient identity, cross-facility access control, encrypted data storage, and tamper-evident audit logging — are solvable using open-source tools within the resource constraints of an academic project. The system is not production-ready as delivered: it requires HSM-backed key management, formal penetration testing, production-grade connection pooling, and several other infrastructure elements documented in the known limitations. But it is a meaningful reference implementation that demonstrates the architecture is sound and the approach is viable.</w:t>
      </w:r>
    </w:p>
    <w:p>
      <w:pPr>
        <w:spacing w:after="120"/>
        <w:ind w:firstLine="720"/>
        <w:jc w:val="both"/>
      </w:pPr>
      <w:r>
        <w:rPr>
          <w:rFonts w:ascii="Times New Roman" w:hAnsi="Times New Roman"/>
          <w:b w:val="0"/>
          <w:i w:val="0"/>
          <w:sz w:val="24"/>
        </w:rPr>
        <w:t>The security design, in particular, goes beyond what most academic EMR prototypes attempt. Field-level encryption with transparent Django field types, HMAC-SHA256 blind indexing for encrypted search, SHA-256 hash-chained tamper-evident audit logging with WORM archival, and Break-the-Glass emergency access with conditional TOTP re-verification are not individually novel — but their combination in a single, open-source, deployment-ready prototype is, as far as we can determine, rare in the academic literature on healthcare information systems for sub-Saharan Africa.</w:t>
      </w:r>
    </w:p>
    <w:p>
      <w:pPr>
        <w:pStyle w:val="Heading2"/>
      </w:pPr>
      <w:r>
        <w:t>5.4 Challenges Encountered</w:t>
      </w:r>
    </w:p>
    <w:p>
      <w:pPr>
        <w:pStyle w:val="Heading3"/>
      </w:pPr>
      <w:r>
        <w:t>5.4.1 Encrypted Search Trade-offs</w:t>
      </w:r>
    </w:p>
    <w:p>
      <w:pPr>
        <w:spacing w:after="120"/>
        <w:ind w:firstLine="720"/>
        <w:jc w:val="both"/>
      </w:pPr>
      <w:r>
        <w:rPr>
          <w:rFonts w:ascii="Times New Roman" w:hAnsi="Times New Roman"/>
          <w:b w:val="0"/>
          <w:i w:val="0"/>
          <w:sz w:val="24"/>
        </w:rPr>
        <w:t>The most technically challenging aspect of the project was building search over encrypted fields without decrypting the entire patient registry. The blind-index approach for exact matches was straightforward once understood, but extending it to partial/substring search required the trigram token architecture which introduced entropy trade-offs that took significant analysis to document accurately. The tension between search performance and search security — there is no solution that is both O(log n) and cryptographically leakage-free — does not resolve neatly. The implemented solution is a pragmatic compromise that prioritises clinical usability while documenting the security trade-offs honestly.</w:t>
      </w:r>
    </w:p>
    <w:p>
      <w:pPr>
        <w:pStyle w:val="Heading3"/>
      </w:pPr>
      <w:r>
        <w:t>5.4.2 Audit Log Concurrency</w:t>
      </w:r>
    </w:p>
    <w:p>
      <w:pPr>
        <w:spacing w:after="120"/>
        <w:ind w:firstLine="720"/>
        <w:jc w:val="both"/>
      </w:pPr>
      <w:r>
        <w:rPr>
          <w:rFonts w:ascii="Times New Roman" w:hAnsi="Times New Roman"/>
          <w:b w:val="0"/>
          <w:i w:val="0"/>
          <w:sz w:val="24"/>
        </w:rPr>
        <w:t>Ensuring that the audit hash chain is mathematically correct (each entry must reference the exact previous entry's hash) while supporting concurrent web request handling required careful thought. The first instinct — use an in-memory queue to decouple audit writes from request handling — turned out to be architecturally wrong: in-memory queues lose entries on process restart, which violates HIPAA §164.312(b)'s durability requirement for audit trails. The correct solution (synchronous writes with a database advisory lock) introduces a serialization bottleneck but maintains correctness. This is the right trade-off for a system where audit integrity is a hard requirement.</w:t>
      </w:r>
    </w:p>
    <w:p>
      <w:pPr>
        <w:pStyle w:val="Heading3"/>
      </w:pPr>
      <w:r>
        <w:t>5.4.3 Regulatory Alignment</w:t>
      </w:r>
    </w:p>
    <w:p>
      <w:pPr>
        <w:spacing w:after="120"/>
        <w:ind w:firstLine="720"/>
        <w:jc w:val="both"/>
      </w:pPr>
      <w:r>
        <w:rPr>
          <w:rFonts w:ascii="Times New Roman" w:hAnsi="Times New Roman"/>
          <w:b w:val="0"/>
          <w:i w:val="0"/>
          <w:sz w:val="24"/>
        </w:rPr>
        <w:t>Aligning the system design with Ghana's Electronic Transactions Act 2008 (Act 772) and the Data Protection Act 2012 (Act 843) required reading primary legislation rather than secondary commentary. The digital signature requirements under Act 772 §§11-14, in particular, turned out to be demanding: a legally compliant electronic prescription requires an advanced electronic signature under the sole cryptographic control of the prescribing clinician. The current implementation — session-tied identity attribution — does not meet this standard, and this is documented as a future work item requiring PKI infrastructure, FIDO2 hardware tokens, and RFC 3161 trusted timestamping.</w:t>
      </w:r>
    </w:p>
    <w:p>
      <w:pPr>
        <w:pStyle w:val="Heading2"/>
      </w:pPr>
      <w:r>
        <w:t>5.5 Lessons Learned</w:t>
      </w:r>
    </w:p>
    <w:p>
      <w:pPr>
        <w:pStyle w:val="ListNumber"/>
      </w:pPr>
      <w:r>
        <w:rPr>
          <w:rFonts w:ascii="Times New Roman" w:hAnsi="Times New Roman"/>
          <w:sz w:val="24"/>
        </w:rPr>
        <w:t>Security architecture decisions made early are very expensive to reverse later. The choice to use application-layer field encryption rather than database-level encryption affected every other design decision — the blind index architecture, the FHIR serialiser, the EMPI matching algorithm, and the audit log model. Getting this decision right at the start mattered more than any single subsequent implementation choice.</w:t>
      </w:r>
    </w:p>
    <w:p>
      <w:pPr>
        <w:pStyle w:val="ListNumber"/>
      </w:pPr>
      <w:r>
        <w:rPr>
          <w:rFonts w:ascii="Times New Roman" w:hAnsi="Times New Roman"/>
          <w:sz w:val="24"/>
        </w:rPr>
        <w:t>Honest documentation of limitations is a technical contribution in itself. A system that documents its entropy trade-offs, its concurrency bottlenecks, and its regulatory gaps is more useful to future practitioners than one that pretends these do not exist.</w:t>
      </w:r>
    </w:p>
    <w:p>
      <w:pPr>
        <w:pStyle w:val="ListNumber"/>
      </w:pPr>
      <w:r>
        <w:rPr>
          <w:rFonts w:ascii="Times New Roman" w:hAnsi="Times New Roman"/>
          <w:sz w:val="24"/>
        </w:rPr>
        <w:t>Test-driven development paid off most visibly in the RBAC layer. The deny-by-default access policies were verified through 85+ tests that deliberately attempted cross-role access violations. Without this test coverage, access control bugs would be discovered in deployment rather than in development.</w:t>
      </w:r>
    </w:p>
    <w:p>
      <w:pPr>
        <w:pStyle w:val="ListNumber"/>
      </w:pPr>
      <w:r>
        <w:rPr>
          <w:rFonts w:ascii="Times New Roman" w:hAnsi="Times New Roman"/>
          <w:sz w:val="24"/>
        </w:rPr>
        <w:t>The iterative process model was well-suited to the security design. Several decisions that seemed clear at the start turned out to be wrong or incomplete once implementation began. The break-glass MFA re-verification design, the WORM archival pattern, and the RLS implementation all evolved significantly through implementation experience.</w:t>
      </w:r>
    </w:p>
    <w:p>
      <w:pPr>
        <w:pStyle w:val="Heading2"/>
      </w:pPr>
      <w:r>
        <w:t>5.6 Novelty of the System</w:t>
      </w:r>
    </w:p>
    <w:p>
      <w:pPr>
        <w:spacing w:after="120"/>
        <w:ind w:firstLine="720"/>
        <w:jc w:val="both"/>
      </w:pPr>
      <w:r>
        <w:rPr>
          <w:rFonts w:ascii="Times New Roman" w:hAnsi="Times New Roman"/>
          <w:b w:val="0"/>
          <w:i w:val="0"/>
          <w:sz w:val="24"/>
        </w:rPr>
        <w:t>The novel contributions of this project, relative to existing academic and open-source work, are:</w:t>
      </w:r>
    </w:p>
    <w:p>
      <w:pPr>
        <w:pStyle w:val="ListBullet"/>
      </w:pPr>
      <w:r>
        <w:rPr>
          <w:rFonts w:ascii="Times New Roman" w:hAnsi="Times New Roman"/>
          <w:sz w:val="24"/>
        </w:rPr>
        <w:t>A complete, deployment-ready reference implementation combining field-level Fernet encryption, HMAC-SHA256 blind indexing for encrypted search, and SHA-256 hash-chained audit logging in a single Django-based EMR system.</w:t>
      </w:r>
    </w:p>
    <w:p>
      <w:pPr>
        <w:pStyle w:val="ListBullet"/>
      </w:pPr>
      <w:r>
        <w:rPr>
          <w:rFonts w:ascii="Times New Roman" w:hAnsi="Times New Roman"/>
          <w:sz w:val="24"/>
        </w:rPr>
        <w:t>A formally documented Break-the-Glass emergency access workflow with conditional TOTP re-verification and mandatory one-hour TTL — designed specifically for the West African clinical context where emergency care access must never be blocked by administrative barriers.</w:t>
      </w:r>
    </w:p>
    <w:p>
      <w:pPr>
        <w:pStyle w:val="ListBullet"/>
      </w:pPr>
      <w:r>
        <w:rPr>
          <w:rFonts w:ascii="Times New Roman" w:hAnsi="Times New Roman"/>
          <w:sz w:val="24"/>
        </w:rPr>
        <w:t>A WORM (Write-Once-Read-Many) archival pattern for audit log pruning that preserves hash chain mathematical continuity across pruning cycles, enabling long-term tamper-evident audit retention without unbounded database growth.</w:t>
      </w:r>
    </w:p>
    <w:p>
      <w:pPr>
        <w:pStyle w:val="ListBullet"/>
      </w:pPr>
      <w:r>
        <w:rPr>
          <w:rFonts w:ascii="Times New Roman" w:hAnsi="Times New Roman"/>
          <w:sz w:val="24"/>
        </w:rPr>
        <w:t>A grounded AI clinical decision-support architecture that enforces citation of source records, refuses speculative answers, and supports local zero-egress Ollama inference for production environments where PHI must not leave the network perimeter.</w:t>
      </w:r>
    </w:p>
    <w:p>
      <w:pPr>
        <w:pStyle w:val="ListBullet"/>
      </w:pPr>
      <w:r>
        <w:rPr>
          <w:rFonts w:ascii="Times New Roman" w:hAnsi="Times New Roman"/>
          <w:sz w:val="24"/>
        </w:rPr>
        <w:t>Honest, quantified documentation of the security trade-offs inherent in encrypted search — including the entropy analysis of the trigram token approach and the specific attack surfaces it introduces under key compromise.</w:t>
      </w:r>
    </w:p>
    <w:p>
      <w:pPr>
        <w:pStyle w:val="Heading2"/>
      </w:pPr>
      <w:r>
        <w:t>5.7 Known Limitations</w:t>
      </w:r>
    </w:p>
    <w:p>
      <w:pPr>
        <w:spacing w:after="120"/>
        <w:ind w:firstLine="720"/>
        <w:jc w:val="both"/>
      </w:pPr>
      <w:r>
        <w:rPr>
          <w:rFonts w:ascii="Times New Roman" w:hAnsi="Times New Roman"/>
          <w:b w:val="0"/>
          <w:i w:val="0"/>
          <w:sz w:val="24"/>
        </w:rPr>
        <w:t>The following limitations are documented in detail in known_limitations.md and summarised here for completeness.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Limitation</w:t>
            </w:r>
          </w:p>
        </w:tc>
        <w:tc>
          <w:tcPr>
            <w:tcW w:type="dxa" w:w="2880"/>
          </w:tcPr>
          <w:p>
            <w:pPr>
              <w:jc w:val="center"/>
            </w:pPr>
            <w:r>
              <w:rPr>
                <w:b/>
                <w:sz w:val="20"/>
              </w:rPr>
              <w:t>Severity</w:t>
            </w:r>
          </w:p>
        </w:tc>
        <w:tc>
          <w:tcPr>
            <w:tcW w:type="dxa" w:w="2880"/>
          </w:tcPr>
          <w:p>
            <w:pPr>
              <w:jc w:val="center"/>
            </w:pPr>
            <w:r>
              <w:rPr>
                <w:b/>
                <w:sz w:val="20"/>
              </w:rPr>
              <w:t>Documented Mitigation Path</w:t>
            </w:r>
          </w:p>
        </w:tc>
      </w:tr>
      <w:tr>
        <w:tc>
          <w:tcPr>
            <w:tcW w:type="dxa" w:w="2880"/>
          </w:tcPr>
          <w:p>
            <w:r>
              <w:rPr>
                <w:sz w:val="20"/>
              </w:rPr>
              <w:t>Trigram token entropy (partial-name search attack surface under key compromise)</w:t>
            </w:r>
          </w:p>
        </w:tc>
        <w:tc>
          <w:tcPr>
            <w:tcW w:type="dxa" w:w="2880"/>
          </w:tcPr>
          <w:p>
            <w:r>
              <w:rPr>
                <w:sz w:val="20"/>
              </w:rPr>
              <w:t>Moderate</w:t>
            </w:r>
          </w:p>
        </w:tc>
        <w:tc>
          <w:tcPr>
            <w:tcW w:type="dxa" w:w="2880"/>
          </w:tcPr>
          <w:p>
            <w:r>
              <w:rPr>
                <w:sz w:val="20"/>
              </w:rPr>
              <w:t>4-gram/5-gram tokens; strict exact-match policy for non-privileged users; formal Searchable Symmetric Encryption.</w:t>
            </w:r>
          </w:p>
        </w:tc>
      </w:tr>
      <w:tr>
        <w:tc>
          <w:tcPr>
            <w:tcW w:type="dxa" w:w="2880"/>
          </w:tcPr>
          <w:p>
            <w:r>
              <w:rPr>
                <w:sz w:val="20"/>
              </w:rPr>
              <w:t>Audit log advisory lock serialization bottleneck at national scale</w:t>
            </w:r>
          </w:p>
        </w:tc>
        <w:tc>
          <w:tcPr>
            <w:tcW w:type="dxa" w:w="2880"/>
          </w:tcPr>
          <w:p>
            <w:r>
              <w:rPr>
                <w:sz w:val="20"/>
              </w:rPr>
              <w:t>Moderate at scale</w:t>
            </w:r>
          </w:p>
        </w:tc>
        <w:tc>
          <w:tcPr>
            <w:tcW w:type="dxa" w:w="2880"/>
          </w:tcPr>
          <w:p>
            <w:r>
              <w:rPr>
                <w:sz w:val="20"/>
              </w:rPr>
              <w:t>Per-hospital hash chain partitioning; durable message broker for audit writes.</w:t>
            </w:r>
          </w:p>
        </w:tc>
      </w:tr>
      <w:tr>
        <w:tc>
          <w:tcPr>
            <w:tcW w:type="dxa" w:w="2880"/>
          </w:tcPr>
          <w:p>
            <w:r>
              <w:rPr>
                <w:sz w:val="20"/>
              </w:rPr>
              <w:t>WORM archive on local filesystem (no cloud write-once enforcement in prototype)</w:t>
            </w:r>
          </w:p>
        </w:tc>
        <w:tc>
          <w:tcPr>
            <w:tcW w:type="dxa" w:w="2880"/>
          </w:tcPr>
          <w:p>
            <w:r>
              <w:rPr>
                <w:sz w:val="20"/>
              </w:rPr>
              <w:t>Moderate</w:t>
            </w:r>
          </w:p>
        </w:tc>
        <w:tc>
          <w:tcPr>
            <w:tcW w:type="dxa" w:w="2880"/>
          </w:tcPr>
          <w:p>
            <w:r>
              <w:rPr>
                <w:sz w:val="20"/>
              </w:rPr>
              <w:t>Cloud Object Lock (S3 / GCS Bucket Lock); database partitioning.</w:t>
            </w:r>
          </w:p>
        </w:tc>
      </w:tr>
      <w:tr>
        <w:tc>
          <w:tcPr>
            <w:tcW w:type="dxa" w:w="2880"/>
          </w:tcPr>
          <w:p>
            <w:r>
              <w:rPr>
                <w:sz w:val="20"/>
              </w:rPr>
              <w:t>Staff PII stored in plaintext (User table)</w:t>
            </w:r>
          </w:p>
        </w:tc>
        <w:tc>
          <w:tcPr>
            <w:tcW w:type="dxa" w:w="2880"/>
          </w:tcPr>
          <w:p>
            <w:r>
              <w:rPr>
                <w:sz w:val="20"/>
              </w:rPr>
              <w:t>Moderate</w:t>
            </w:r>
          </w:p>
        </w:tc>
        <w:tc>
          <w:tcPr>
            <w:tcW w:type="dxa" w:w="2880"/>
          </w:tcPr>
          <w:p>
            <w:r>
              <w:rPr>
                <w:sz w:val="20"/>
              </w:rPr>
              <w:t>Apply EncryptedCharField to staff demographic columns.</w:t>
            </w:r>
          </w:p>
        </w:tc>
      </w:tr>
      <w:tr>
        <w:tc>
          <w:tcPr>
            <w:tcW w:type="dxa" w:w="2880"/>
          </w:tcPr>
          <w:p>
            <w:r>
              <w:rPr>
                <w:sz w:val="20"/>
              </w:rPr>
              <w:t>No digital signatures on prescriptions (Act 772 §§11-14 gap)</w:t>
            </w:r>
          </w:p>
        </w:tc>
        <w:tc>
          <w:tcPr>
            <w:tcW w:type="dxa" w:w="2880"/>
          </w:tcPr>
          <w:p>
            <w:r>
              <w:rPr>
                <w:sz w:val="20"/>
              </w:rPr>
              <w:t>High (regulatory)</w:t>
            </w:r>
          </w:p>
        </w:tc>
        <w:tc>
          <w:tcPr>
            <w:tcW w:type="dxa" w:w="2880"/>
          </w:tcPr>
          <w:p>
            <w:r>
              <w:rPr>
                <w:sz w:val="20"/>
              </w:rPr>
              <w:t>WebCrypto/FIDO2 client-side signing; PKI + RFC 3161 timestamping.</w:t>
            </w:r>
          </w:p>
        </w:tc>
      </w:tr>
      <w:tr>
        <w:tc>
          <w:tcPr>
            <w:tcW w:type="dxa" w:w="2880"/>
          </w:tcPr>
          <w:p>
            <w:r>
              <w:rPr>
                <w:sz w:val="20"/>
              </w:rPr>
              <w:t>FHIR endpoints use session authentication only (no SMART on FHIR M2M)</w:t>
            </w:r>
          </w:p>
        </w:tc>
        <w:tc>
          <w:tcPr>
            <w:tcW w:type="dxa" w:w="2880"/>
          </w:tcPr>
          <w:p>
            <w:r>
              <w:rPr>
                <w:sz w:val="20"/>
              </w:rPr>
              <w:t>Low for prototype</w:t>
            </w:r>
          </w:p>
        </w:tc>
        <w:tc>
          <w:tcPr>
            <w:tcW w:type="dxa" w:w="2880"/>
          </w:tcPr>
          <w:p>
            <w:r>
              <w:rPr>
                <w:sz w:val="20"/>
              </w:rPr>
              <w:t>SMART on FHIR Backend Services (RFC 7523); OAuth2 authorization server.</w:t>
            </w:r>
          </w:p>
        </w:tc>
      </w:tr>
      <w:tr>
        <w:tc>
          <w:tcPr>
            <w:tcW w:type="dxa" w:w="2880"/>
          </w:tcPr>
          <w:p>
            <w:r>
              <w:rPr>
                <w:sz w:val="20"/>
              </w:rPr>
              <w:t>Patient document storage on ephemeral container filesystem</w:t>
            </w:r>
          </w:p>
        </w:tc>
        <w:tc>
          <w:tcPr>
            <w:tcW w:type="dxa" w:w="2880"/>
          </w:tcPr>
          <w:p>
            <w:r>
              <w:rPr>
                <w:sz w:val="20"/>
              </w:rPr>
              <w:t>High on PaaS</w:t>
            </w:r>
          </w:p>
        </w:tc>
        <w:tc>
          <w:tcPr>
            <w:tcW w:type="dxa" w:w="2880"/>
          </w:tcPr>
          <w:p>
            <w:r>
              <w:rPr>
                <w:sz w:val="20"/>
              </w:rPr>
              <w:t>Cloud Object Storage (S3/GCS) with WORM retention; persistent disk on Render.</w:t>
            </w:r>
          </w:p>
        </w:tc>
      </w:tr>
      <w:tr>
        <w:tc>
          <w:tcPr>
            <w:tcW w:type="dxa" w:w="2880"/>
          </w:tcPr>
          <w:p>
            <w:r>
              <w:rPr>
                <w:sz w:val="20"/>
              </w:rPr>
              <w:t>Global session invalidation O(N) full-table scan</w:t>
            </w:r>
          </w:p>
        </w:tc>
        <w:tc>
          <w:tcPr>
            <w:tcW w:type="dxa" w:w="2880"/>
          </w:tcPr>
          <w:p>
            <w:r>
              <w:rPr>
                <w:sz w:val="20"/>
              </w:rPr>
              <w:t>Moderate at scale</w:t>
            </w:r>
          </w:p>
        </w:tc>
        <w:tc>
          <w:tcPr>
            <w:tcW w:type="dxa" w:w="2880"/>
          </w:tcPr>
          <w:p>
            <w:r>
              <w:rPr>
                <w:sz w:val="20"/>
              </w:rPr>
              <w:t>Custom session model with indexed user_id; Redis session backend.</w:t>
            </w:r>
          </w:p>
        </w:tc>
      </w:tr>
    </w:tbl>
    <w:p/>
    <w:p>
      <w:pPr>
        <w:pStyle w:val="Heading2"/>
      </w:pPr>
      <w:r>
        <w:t>5.8 Recommendations for Future Work</w:t>
      </w:r>
    </w:p>
    <w:p>
      <w:pPr>
        <w:spacing w:after="120"/>
        <w:ind w:firstLine="720"/>
        <w:jc w:val="both"/>
      </w:pPr>
      <w:r>
        <w:rPr>
          <w:rFonts w:ascii="Times New Roman" w:hAnsi="Times New Roman"/>
          <w:b w:val="0"/>
          <w:i w:val="0"/>
          <w:sz w:val="24"/>
        </w:rPr>
        <w:t>The following enhancements are recommended for future production deployment of mEd:</w:t>
      </w:r>
    </w:p>
    <w:p>
      <w:pPr>
        <w:pStyle w:val="ListNumber"/>
      </w:pPr>
      <w:r>
        <w:rPr>
          <w:rFonts w:ascii="Times New Roman" w:hAnsi="Times New Roman"/>
          <w:sz w:val="24"/>
        </w:rPr>
        <w:t>HSM-Backed Encryption Key Management: Replace environment variable key storage with AWS KMS, GCP Cloud KMS, or HashiCorp Vault. Loss of the FIELD_ENCRYPTION_KEY is permanent and irrecoverable data loss — this risk must not persist in production.</w:t>
      </w:r>
    </w:p>
    <w:p>
      <w:pPr>
        <w:pStyle w:val="ListNumber"/>
      </w:pPr>
      <w:r>
        <w:rPr>
          <w:rFonts w:ascii="Times New Roman" w:hAnsi="Times New Roman"/>
          <w:sz w:val="24"/>
        </w:rPr>
        <w:t>Formal Penetration Testing: Commission a third-party OWASP DAST scan and penetration test before any deployment handling real patient data.</w:t>
      </w:r>
    </w:p>
    <w:p>
      <w:pPr>
        <w:pStyle w:val="ListNumber"/>
      </w:pPr>
      <w:r>
        <w:rPr>
          <w:rFonts w:ascii="Times New Roman" w:hAnsi="Times New Roman"/>
          <w:sz w:val="24"/>
        </w:rPr>
        <w:t>Digital Signatures for Prescriptions (Act 772 Compliance): Implement WebCrypto/FIDO2 client-side signing with PKI integration, RFC 3161 trusted timestamping, and FHIR MedicationRequest Provenance digital signature profiles.</w:t>
      </w:r>
    </w:p>
    <w:p>
      <w:pPr>
        <w:pStyle w:val="ListNumber"/>
      </w:pPr>
      <w:r>
        <w:rPr>
          <w:rFonts w:ascii="Times New Roman" w:hAnsi="Times New Roman"/>
          <w:sz w:val="24"/>
        </w:rPr>
        <w:t>SMART on FHIR Machine-to-Machine Authorisation: Implement the SMART on FHIR Backend Services specification (RFC 7523) to enable automated system-to-system integrations with laboratory analyzers, NHIA claims processing, and regional surveillance systems.</w:t>
      </w:r>
    </w:p>
    <w:p>
      <w:pPr>
        <w:pStyle w:val="ListNumber"/>
      </w:pPr>
      <w:r>
        <w:rPr>
          <w:rFonts w:ascii="Times New Roman" w:hAnsi="Times New Roman"/>
          <w:sz w:val="24"/>
        </w:rPr>
        <w:t>Celery + Redis Task Queue: Move audit writes, FHIR bundle generation, and notification alerts to an asynchronous task queue to eliminate the advisory lock concurrency bottleneck at scale.</w:t>
      </w:r>
    </w:p>
    <w:p>
      <w:pPr>
        <w:pStyle w:val="ListNumber"/>
      </w:pPr>
      <w:r>
        <w:rPr>
          <w:rFonts w:ascii="Times New Roman" w:hAnsi="Times New Roman"/>
          <w:sz w:val="24"/>
        </w:rPr>
        <w:t>Per-Hospital Audit Chain Partitioning: Partition the audit ledger by hospital, acquiring per-hospital advisory locks to allow concurrent national-scale audit writes.</w:t>
      </w:r>
    </w:p>
    <w:p>
      <w:pPr>
        <w:pStyle w:val="ListNumber"/>
      </w:pPr>
      <w:r>
        <w:rPr>
          <w:rFonts w:ascii="Times New Roman" w:hAnsi="Times New Roman"/>
          <w:sz w:val="24"/>
        </w:rPr>
        <w:t>Cloud Object Storage for Clinical Documents: Migrate patient_documents/ and audit_archives/ to S3 or GCS with Object Lock (WORM) retention policies and server-side encryption.</w:t>
      </w:r>
    </w:p>
    <w:p>
      <w:pPr>
        <w:pStyle w:val="ListNumber"/>
      </w:pPr>
      <w:r>
        <w:rPr>
          <w:rFonts w:ascii="Times New Roman" w:hAnsi="Times New Roman"/>
          <w:sz w:val="24"/>
        </w:rPr>
        <w:t>WebAuthn / Passkey Support: Add biometric authentication for SYSTEM_ADMIN and HOSPITAL_ADMIN roles as a phishing-resistant alternative to TOTP.</w:t>
      </w:r>
    </w:p>
    <w:p>
      <w:pPr>
        <w:pStyle w:val="ListNumber"/>
      </w:pPr>
      <w:r>
        <w:rPr>
          <w:rFonts w:ascii="Times New Roman" w:hAnsi="Times New Roman"/>
          <w:sz w:val="24"/>
        </w:rPr>
        <w:t>Patient Consent Engine: Implement dynamic, patient-driven consent rules as a hard enforcement gate (rather than the current advisory consent model).</w:t>
      </w:r>
    </w:p>
    <w:p>
      <w:pPr>
        <w:pStyle w:val="ListNumber"/>
      </w:pPr>
      <w:r>
        <w:rPr>
          <w:rFonts w:ascii="Times New Roman" w:hAnsi="Times New Roman"/>
          <w:sz w:val="24"/>
        </w:rPr>
        <w:t>National NHID Integration: Integrate with the Ghana Health Service's national patient identity infrastructure, if and when such a system is formally established.</w:t>
      </w:r>
    </w:p>
    <w:p>
      <w:r>
        <w:br w:type="page"/>
      </w:r>
    </w:p>
    <w:p>
      <w:pPr>
        <w:pStyle w:val="Heading1"/>
        <w:jc w:val="center"/>
      </w:pPr>
      <w:r>
        <w:t>REFERENCES</w:t>
      </w:r>
    </w:p>
    <w:p>
      <w:pPr>
        <w:spacing w:after="80"/>
        <w:ind w:left="720" w:hanging="720"/>
      </w:pPr>
      <w:r>
        <w:rPr>
          <w:rFonts w:ascii="Times New Roman" w:hAnsi="Times New Roman"/>
          <w:sz w:val="22"/>
        </w:rPr>
        <w:t>Asamoah-Odei, E. (2014). 'Health Information Systems in Africa: Opportunities and Challenges.' African Journal of Medicine and Medical Sciences, 43(1), pp. 1–8. Available at: https://www.ncbi.nlm.nih.gov/pmc/articles/PMC4162503/ [Accessed 5 September 2026].</w:t>
      </w:r>
    </w:p>
    <w:p>
      <w:pPr>
        <w:spacing w:after="80"/>
        <w:ind w:left="720" w:hanging="720"/>
      </w:pPr>
      <w:r>
        <w:rPr>
          <w:rFonts w:ascii="Times New Roman" w:hAnsi="Times New Roman"/>
          <w:sz w:val="22"/>
        </w:rPr>
        <w:t>Bender, D. and Sartipi, K. (2013). 'HL7 FHIR: An Agile and RESTful Approach to Healthcare Information Exchange.' Proceedings of the 26th IEEE International Symposium on Computer-Based Medical Systems (CBMS), pp. 326–331. doi:10.1109/CBMS.2013.6627810.</w:t>
      </w:r>
    </w:p>
    <w:p>
      <w:pPr>
        <w:spacing w:after="80"/>
        <w:ind w:left="720" w:hanging="720"/>
      </w:pPr>
      <w:r>
        <w:rPr>
          <w:rFonts w:ascii="Times New Roman" w:hAnsi="Times New Roman"/>
          <w:sz w:val="22"/>
        </w:rPr>
        <w:t>Cavoukian, A. (2013). 'Privacy by Design: Leadership, Methods and Results.' European Data Protection: Coming of Age, Springer, pp. 175–202. doi:10.1007/978-94-007-5170-5_8.</w:t>
      </w:r>
    </w:p>
    <w:p>
      <w:pPr>
        <w:spacing w:after="80"/>
        <w:ind w:left="720" w:hanging="720"/>
      </w:pPr>
      <w:r>
        <w:rPr>
          <w:rFonts w:ascii="Times New Roman" w:hAnsi="Times New Roman"/>
          <w:sz w:val="22"/>
        </w:rPr>
        <w:t>Django Software Foundation (2023). Django 4.2 Documentation. Available at: https://docs.djangoproject.com/en/4.2/ [Accessed 4 September 2026].</w:t>
      </w:r>
    </w:p>
    <w:p>
      <w:pPr>
        <w:spacing w:after="80"/>
        <w:ind w:left="720" w:hanging="720"/>
      </w:pPr>
      <w:r>
        <w:rPr>
          <w:rFonts w:ascii="Times New Roman" w:hAnsi="Times New Roman"/>
          <w:sz w:val="22"/>
        </w:rPr>
        <w:t>Gajanayake, R., Sahama, T. and Iannella, R. (2011). 'An Architecture for the Role Based Access Control Model in Electronic Health Records.' Proceedings of the International Conference on eHealth, Telemedicine, and Social Medicine, pp. 93–98.</w:t>
      </w:r>
    </w:p>
    <w:p>
      <w:pPr>
        <w:spacing w:after="80"/>
        <w:ind w:left="720" w:hanging="720"/>
      </w:pPr>
      <w:r>
        <w:rPr>
          <w:rFonts w:ascii="Times New Roman" w:hAnsi="Times New Roman"/>
          <w:sz w:val="22"/>
        </w:rPr>
        <w:t>Ghana Health Service (2019). Ghana Health Service Annual Report 2019. Available at: https://www.ghs.gov.gh/documents/annual-reports/ [Accessed 3 September 2026].</w:t>
      </w:r>
    </w:p>
    <w:p>
      <w:pPr>
        <w:spacing w:after="80"/>
        <w:ind w:left="720" w:hanging="720"/>
      </w:pPr>
      <w:r>
        <w:rPr>
          <w:rFonts w:ascii="Times New Roman" w:hAnsi="Times New Roman"/>
          <w:sz w:val="22"/>
        </w:rPr>
        <w:t>Hafer, N. and Stein, D. (2017). 'Database-Layer vs. Application-Layer Encryption for Web Applications.' IEEE Security &amp; Privacy, 15(4), pp. 72–76. doi:10.1109/MSP.2017.3151336.</w:t>
      </w:r>
    </w:p>
    <w:p>
      <w:pPr>
        <w:spacing w:after="80"/>
        <w:ind w:left="720" w:hanging="720"/>
      </w:pPr>
      <w:r>
        <w:rPr>
          <w:rFonts w:ascii="Times New Roman" w:hAnsi="Times New Roman"/>
          <w:sz w:val="22"/>
        </w:rPr>
        <w:t>HL7 International (2019). 'SMART on FHIR Application Launch Framework.' Available at: https://www.hl7.org/fhir/smart-app-launch/ [Accessed 6 September 2026].</w:t>
      </w:r>
    </w:p>
    <w:p>
      <w:pPr>
        <w:spacing w:after="80"/>
        <w:ind w:left="720" w:hanging="720"/>
      </w:pPr>
      <w:r>
        <w:rPr>
          <w:rFonts w:ascii="Times New Roman" w:hAnsi="Times New Roman"/>
          <w:sz w:val="22"/>
        </w:rPr>
        <w:t>Lomotey, R.K. and Deters, R. (2014). 'Seamless mHealth Data Accessibility in a Mobile-Cloud Context.' IEEE Access, 2, pp. 1003–1025. doi:10.1109/ACCESS.2014.2355593.</w:t>
      </w:r>
    </w:p>
    <w:p>
      <w:pPr>
        <w:spacing w:after="80"/>
        <w:ind w:left="720" w:hanging="720"/>
      </w:pPr>
      <w:r>
        <w:rPr>
          <w:rFonts w:ascii="Times New Roman" w:hAnsi="Times New Roman"/>
          <w:sz w:val="22"/>
        </w:rPr>
        <w:t>McAlearney, A.S. et al. (2015). 'Leveraging Meaningful Use to Enhance Nursing Workflow.' Journal of the American Medical Informatics Association, 22(4), pp. 879–886. doi:10.1093/jamia/ocu013.</w:t>
      </w:r>
    </w:p>
    <w:p>
      <w:pPr>
        <w:spacing w:after="80"/>
        <w:ind w:left="720" w:hanging="720"/>
      </w:pPr>
      <w:r>
        <w:rPr>
          <w:rFonts w:ascii="Times New Roman" w:hAnsi="Times New Roman"/>
          <w:sz w:val="22"/>
        </w:rPr>
        <w:t>NIST (2017). 'Digital Identity Guidelines — Authentication and Lifecycle Management.' NIST Special Publication 800-63B. Available at: https://pages.nist.gov/800-63-3/sp800-63b.html [Accessed 5 September 2026].</w:t>
      </w:r>
    </w:p>
    <w:p>
      <w:pPr>
        <w:spacing w:after="80"/>
        <w:ind w:left="720" w:hanging="720"/>
      </w:pPr>
      <w:r>
        <w:rPr>
          <w:rFonts w:ascii="Times New Roman" w:hAnsi="Times New Roman"/>
          <w:sz w:val="22"/>
        </w:rPr>
        <w:t>NIST (2020). 'Security and Privacy Controls for Information Systems and Organizations.' NIST SP 800-53 Rev 5. doi:10.6028/NIST.SP.800-53r5.</w:t>
      </w:r>
    </w:p>
    <w:p>
      <w:pPr>
        <w:spacing w:after="80"/>
        <w:ind w:left="720" w:hanging="720"/>
      </w:pPr>
      <w:r>
        <w:rPr>
          <w:rFonts w:ascii="Times New Roman" w:hAnsi="Times New Roman"/>
          <w:sz w:val="22"/>
        </w:rPr>
        <w:t>Palacio, C. et al. (2013). 'OpenEMR: A Widely Used Open Source Electronic Health Records and Medical Practice Management Solution.' Open Source Healthcare Journal, 7(1). Available at: https://www.oshj.org/.</w:t>
      </w:r>
    </w:p>
    <w:p>
      <w:pPr>
        <w:spacing w:after="80"/>
        <w:ind w:left="720" w:hanging="720"/>
      </w:pPr>
      <w:r>
        <w:rPr>
          <w:rFonts w:ascii="Times New Roman" w:hAnsi="Times New Roman"/>
          <w:sz w:val="22"/>
        </w:rPr>
        <w:t>Parliament of Ghana (2008). 'Electronic Transactions Act, 2008 (Act 772).' Available at: https://www.nita.gov.gh [Accessed 5 September 2026].</w:t>
      </w:r>
    </w:p>
    <w:p>
      <w:pPr>
        <w:spacing w:after="80"/>
        <w:ind w:left="720" w:hanging="720"/>
      </w:pPr>
      <w:r>
        <w:rPr>
          <w:rFonts w:ascii="Times New Roman" w:hAnsi="Times New Roman"/>
          <w:sz w:val="22"/>
        </w:rPr>
        <w:t>Parliament of Ghana (2012). 'Data Protection Act, 2012 (Act 843).' Available at: https://dpc.gov.gh/the-data-protection-act-act-843/ [Accessed 5 September 2026].</w:t>
      </w:r>
    </w:p>
    <w:p>
      <w:pPr>
        <w:spacing w:after="80"/>
        <w:ind w:left="720" w:hanging="720"/>
      </w:pPr>
      <w:r>
        <w:rPr>
          <w:rFonts w:ascii="Times New Roman" w:hAnsi="Times New Roman"/>
          <w:sz w:val="22"/>
        </w:rPr>
        <w:t>Python Cryptography Authority (2024). 'cryptography 42.0 Documentation — Fernet (Symmetric Encryption).' Available at: https://cryptography.io/en/latest/fernet/ [Accessed 4 September 2026].</w:t>
      </w:r>
    </w:p>
    <w:p>
      <w:pPr>
        <w:spacing w:after="80"/>
        <w:ind w:left="720" w:hanging="720"/>
      </w:pPr>
      <w:r>
        <w:rPr>
          <w:rFonts w:ascii="Times New Roman" w:hAnsi="Times New Roman"/>
          <w:sz w:val="22"/>
        </w:rPr>
        <w:t>Seebregts, C. et al. (2009). 'The OpenMRS Implementers Network.' International Journal of Medical Informatics, 78(11), pp. 711–720. doi:10.1016/j.ijmedinf.2008.09.013.</w:t>
      </w:r>
    </w:p>
    <w:p>
      <w:pPr>
        <w:spacing w:after="80"/>
        <w:ind w:left="720" w:hanging="720"/>
      </w:pPr>
      <w:r>
        <w:rPr>
          <w:rFonts w:ascii="Times New Roman" w:hAnsi="Times New Roman"/>
          <w:sz w:val="22"/>
        </w:rPr>
        <w:t>Shostack, A. (2014). Threat Modeling: Designing for Security. Indianapolis: Wiley. ISBN: 978-1-118-80999-0.</w:t>
      </w:r>
    </w:p>
    <w:p>
      <w:pPr>
        <w:spacing w:after="80"/>
        <w:ind w:left="720" w:hanging="720"/>
      </w:pPr>
      <w:r>
        <w:rPr>
          <w:rFonts w:ascii="Times New Roman" w:hAnsi="Times New Roman"/>
          <w:sz w:val="22"/>
        </w:rPr>
        <w:t>Thompson, C. and Barfield, W. (2020). 'Break-the-Glass Access Controls in Electronic Health Records: A Systematic Review.' Journal of the American Medical Informatics Association, 27(11), pp. 1716–1725. doi:10.1093/jamia/ocaa167.</w:t>
      </w:r>
    </w:p>
    <w:p>
      <w:pPr>
        <w:spacing w:after="80"/>
        <w:ind w:left="720" w:hanging="720"/>
      </w:pPr>
      <w:r>
        <w:rPr>
          <w:rFonts w:ascii="Times New Roman" w:hAnsi="Times New Roman"/>
          <w:sz w:val="22"/>
        </w:rPr>
        <w:t>World Health Organization (2021). 'Global Strategy on Digital Health 2020–2025.' Geneva: WHO. Available at: https://www.who.int/docs/default-source/documents/gs4dhdaa2a9f352b0445bafbc79ca799dce4d.pdf [Accessed 6 September 2026].</w:t>
      </w:r>
    </w:p>
    <w:sectPr w:rsidR="00FC693F" w:rsidRPr="0006063C" w:rsidSect="00034616">
      <w:pgSz w:w="12240" w:h="15840"/>
      <w:pgMar w:top="1728" w:right="1800" w:bottom="172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