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media/image1.tif" ContentType="image/tiff"/>
  <Override PartName="/word/media/image2.tif" ContentType="image/tiff"/>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uz1"/>
        <w:spacing w:before="360" w:after="80"/>
        <w:rPr>
          <w:rFonts w:cs="Arial"/>
          <w:lang w:val="en-US"/>
        </w:rPr>
      </w:pPr>
      <w:r>
        <w:rPr>
          <w:rFonts w:cs="Arial"/>
        </w:rPr>
        <w:t>Supplementary</w:t>
      </w:r>
      <w:r>
        <w:rPr>
          <w:rFonts w:cs="Arial"/>
          <w:lang w:val="en-US"/>
        </w:rPr>
        <w:t xml:space="preserve"> Material </w:t>
      </w:r>
    </w:p>
    <w:p>
      <w:pPr>
        <w:pStyle w:val="Duz1"/>
        <w:rPr>
          <w:rFonts w:cs="Arial"/>
        </w:rPr>
      </w:pPr>
      <w:r>
        <w:rPr>
          <w:rFonts w:cs="Arial"/>
        </w:rPr>
        <w:t>1. Supplementary Methods</w:t>
      </w:r>
    </w:p>
    <w:p>
      <w:pPr>
        <w:pStyle w:val="Duz2"/>
        <w:rPr>
          <w:rFonts w:cs="Arial"/>
        </w:rPr>
      </w:pPr>
      <w:r>
        <w:rPr>
          <w:rFonts w:cs="Arial"/>
        </w:rPr>
        <w:t>1.1 Extended MRI Data Acquisition and Preprocessing Parameters</w:t>
      </w:r>
    </w:p>
    <w:p>
      <w:pPr>
        <w:pStyle w:val="Normal"/>
        <w:rPr>
          <w:rFonts w:ascii="Arial" w:hAnsi="Arial" w:cs="Arial"/>
          <w:lang w:val="en-US"/>
        </w:rPr>
      </w:pPr>
      <w:r>
        <w:rPr>
          <w:rFonts w:cs="Arial" w:ascii="Arial" w:hAnsi="Arial"/>
          <w:lang w:val="en-US"/>
        </w:rPr>
        <w:t>MRI examinations were performed using a 3.0 Tesla scanner (Siemens Magnetom Verio, Numaris/4, Syngo MR B17, Erlangen, Germany) equipped with a 12-channel head coil. Initially, structural images were acquired using axial TSE T2-weighted, coronal 3D-SPACE FLAIR (Dark fluid), and 3D-MPRAGE sequences. These images were reviewed at the console by a radiologist to exclude brain anomalies. Cases with no radiopathological findings were retained for further scanning, and the fMRI examination was conducted.</w:t>
      </w:r>
      <w:r>
        <w:rPr>
          <w:rFonts w:cs="Arial" w:ascii="Arial" w:hAnsi="Arial"/>
          <w:b w:val="false"/>
          <w:bCs w:val="false"/>
          <w:lang w:val="en-US"/>
        </w:rPr>
        <w:t xml:space="preserve"> </w:t>
      </w:r>
      <w:r>
        <w:rPr>
          <w:rFonts w:ascii="Arial" w:hAnsi="Arial"/>
          <w:b w:val="false"/>
          <w:bCs w:val="false"/>
        </w:rPr>
        <w:t xml:space="preserve">Following the structural imaging, </w:t>
      </w:r>
      <w:r>
        <w:rPr>
          <w:rFonts w:ascii="Arial" w:hAnsi="Arial"/>
          <w:b w:val="false"/>
          <w:bCs w:val="false"/>
        </w:rPr>
        <w:t xml:space="preserve">a 24-minute and 54-second task-based fMRI scan (Trust Game) was acquired. </w:t>
      </w:r>
      <w:r>
        <w:rPr>
          <w:rFonts w:cs="Arial" w:ascii="Arial" w:hAnsi="Arial"/>
          <w:lang w:val="en-US"/>
        </w:rPr>
        <w:t>The acquisition parameters were as follows: TR = 3000 ms, TE = 30 ms, flip angle (FA) = 90°, voxel size = 3 x 3 x 3 mm, matrix = 64 x 64, FOV = 192 x 192 mm.</w:t>
      </w:r>
    </w:p>
    <w:p>
      <w:pPr>
        <w:pStyle w:val="Normal"/>
        <w:rPr>
          <w:rFonts w:ascii="Arial" w:hAnsi="Arial" w:cs="Arial"/>
          <w:lang w:val="en-US"/>
        </w:rPr>
      </w:pPr>
      <w:r>
        <w:rPr>
          <w:rFonts w:cs="Arial" w:ascii="Arial" w:hAnsi="Arial"/>
          <w:lang w:val="en-US"/>
        </w:rPr>
        <w:t xml:space="preserve">Functional data were preprocessed using Statistical Parametric Mapping (SPM; Wellcome Trust Centre for Neuroimaging, London, UK) running on MATLAB. To allow for signal equilibration, the first 2 volumes of each run were discarded. The preprocessing pipeline included: slice-timing correction to account for acquisition time differences, spatial realignment to the first volume to correct for head motion, and co-registration of the anatomical T1 image to the mean functional EPI image. The anatomical image was segmented into gray matter, white matter, and cerebrospinal fluid, and the resulting deformation fields were used to spatially normalize the functional images into standard Montreal Neurological Institute (MNI) space, resampling to a voxel size of 2 × 2 × 2 mm³. Finally, the normalized functional images were spatially smoothed using an 8 mm full-width at half-maximum (FWHM) isotropic Gaussian kernel. </w:t>
      </w:r>
    </w:p>
    <w:p>
      <w:pPr>
        <w:pStyle w:val="Normal"/>
        <w:rPr>
          <w:rFonts w:ascii="Arial" w:hAnsi="Arial" w:cs="Arial"/>
          <w:lang w:val="en-US"/>
        </w:rPr>
      </w:pPr>
      <w:r>
        <w:rPr>
          <w:rFonts w:cs="Arial" w:ascii="Arial" w:hAnsi="Arial"/>
          <w:lang w:val="en-US"/>
        </w:rPr>
      </w:r>
    </w:p>
    <w:p>
      <w:pPr>
        <w:pStyle w:val="Duz2"/>
        <w:rPr>
          <w:rFonts w:cs="Arial"/>
        </w:rPr>
      </w:pPr>
      <w:r>
        <w:rPr>
          <w:rFonts w:cs="Arial"/>
        </w:rPr>
        <w:t>1.2 Extended fMRI Statistical Modeling</w:t>
      </w:r>
    </w:p>
    <w:p>
      <w:pPr>
        <w:pStyle w:val="Normal"/>
        <w:rPr>
          <w:rFonts w:ascii="Arial" w:hAnsi="Arial" w:cs="Arial"/>
        </w:rPr>
      </w:pPr>
      <w:r>
        <w:rPr>
          <w:rFonts w:cs="Arial" w:ascii="Arial" w:hAnsi="Arial"/>
        </w:rPr>
        <w:t>At the first (subject) level, blood-oxygen-level-dependent (BOLD) responses were modeled using a General Linear Model (GLM). The task phases (</w:t>
      </w:r>
      <w:r>
        <w:rPr>
          <w:rFonts w:cs="Arial" w:ascii="Arial" w:hAnsi="Arial"/>
          <w:i/>
          <w:iCs/>
        </w:rPr>
        <w:t>Decision</w:t>
      </w:r>
      <w:r>
        <w:rPr>
          <w:rFonts w:cs="Arial" w:ascii="Arial" w:hAnsi="Arial"/>
        </w:rPr>
        <w:t xml:space="preserve">, </w:t>
      </w:r>
      <w:r>
        <w:rPr>
          <w:rFonts w:cs="Arial" w:ascii="Arial" w:hAnsi="Arial"/>
          <w:i/>
          <w:iCs/>
        </w:rPr>
        <w:t>Anticipation</w:t>
      </w:r>
      <w:r>
        <w:rPr>
          <w:rFonts w:cs="Arial" w:ascii="Arial" w:hAnsi="Arial"/>
        </w:rPr>
        <w:t xml:space="preserve">, and </w:t>
      </w:r>
      <w:r>
        <w:rPr>
          <w:rFonts w:cs="Arial" w:ascii="Arial" w:hAnsi="Arial"/>
          <w:i/>
          <w:iCs/>
        </w:rPr>
        <w:t>Response</w:t>
      </w:r>
      <w:r>
        <w:rPr>
          <w:rFonts w:cs="Arial" w:ascii="Arial" w:hAnsi="Arial"/>
        </w:rPr>
        <w:t xml:space="preserve">) were modeled as event-related delta functions convolved with the canonical hemodynamic response function (HRF). To identify brain regions tracking computational learning signals independently of visual feedback, the trial-by-trial Prediction Error (PE) was entered as a parametric modulator on the </w:t>
      </w:r>
      <w:r>
        <w:rPr>
          <w:rFonts w:cs="Arial" w:ascii="Arial" w:hAnsi="Arial"/>
          <w:i/>
          <w:iCs/>
        </w:rPr>
        <w:t>Response</w:t>
      </w:r>
      <w:r>
        <w:rPr>
          <w:rFonts w:cs="Arial" w:ascii="Arial" w:hAnsi="Arial"/>
        </w:rPr>
        <w:t xml:space="preserve"> onset. To account for physiological and movement-related noise, six rigid-body head motion parameters (three translations, three rotations) were included as nuisance regressors. A high-pass filter with a cutoff of 128 seconds was applied to remove low-frequency drifts. Parameter estimate images and contrast images generated at the first level were subsequently entered into the second-level two-sample </w:t>
      </w:r>
      <w:r>
        <w:rPr>
          <w:rFonts w:cs="Arial" w:ascii="Arial" w:hAnsi="Arial"/>
          <w:i/>
          <w:iCs/>
        </w:rPr>
        <w:t>t</w:t>
      </w:r>
      <w:r>
        <w:rPr>
          <w:rFonts w:cs="Arial" w:ascii="Arial" w:hAnsi="Arial"/>
        </w:rPr>
        <w:t>-tests and multiple regression analyses.</w:t>
      </w:r>
    </w:p>
    <w:p>
      <w:pPr>
        <w:pStyle w:val="Duz2"/>
        <w:rPr>
          <w:rFonts w:cs="Arial"/>
        </w:rPr>
      </w:pPr>
      <w:r>
        <w:rPr>
          <w:rFonts w:cs="Arial"/>
        </w:rPr>
        <w:t>1.3 Computational Learning Model Based on Rescorla-Wagner</w:t>
      </w:r>
    </w:p>
    <w:p>
      <w:pPr>
        <w:pStyle w:val="Normal"/>
        <w:rPr>
          <w:rFonts w:ascii="Arial" w:hAnsi="Arial" w:eastAsia="Calibri" w:cs="Arial"/>
        </w:rPr>
      </w:pPr>
      <w:r>
        <w:rPr>
          <w:rFonts w:eastAsia="Calibri" w:cs="Arial" w:ascii="Arial" w:hAnsi="Arial"/>
        </w:rPr>
        <w:t>We implemented a standard Rescorla-Wagner (RW) Reinforcement Learning model to characterize the trial-by-trial reward predictions and learning dynamics of participants during the sequential investment task. The model estimates how participants dynamically update their expectations based on the feedback they receive, utilizing two primary parameters: the learning rate (</w:t>
      </w:r>
      <w:r>
        <w:rPr/>
      </w:r>
      <m:oMath xmlns:m="http://schemas.openxmlformats.org/officeDocument/2006/math">
        <m:r>
          <m:t xml:space="preserve">α</m:t>
        </m:r>
      </m:oMath>
      <w:r>
        <w:rPr>
          <w:rFonts w:eastAsia="Calibri" w:cs="Arial" w:ascii="Arial" w:hAnsi="Arial"/>
        </w:rPr>
        <w:t>) and the inverse temperature (</w:t>
      </w:r>
      <w:r>
        <w:rPr/>
      </w:r>
      <m:oMath xmlns:m="http://schemas.openxmlformats.org/officeDocument/2006/math">
        <m:r>
          <m:t xml:space="preserve">β</m:t>
        </m:r>
      </m:oMath>
      <w:r>
        <w:rPr>
          <w:rFonts w:eastAsia="Calibri" w:cs="Arial" w:ascii="Arial" w:hAnsi="Arial"/>
        </w:rPr>
        <w:t>).</w:t>
      </w:r>
    </w:p>
    <w:p>
      <w:pPr>
        <w:pStyle w:val="Duz3"/>
        <w:rPr>
          <w:rFonts w:ascii="Arial" w:hAnsi="Arial" w:cs="Arial"/>
        </w:rPr>
      </w:pPr>
      <w:r>
        <w:rPr>
          <w:rFonts w:cs="Arial" w:ascii="Arial" w:hAnsi="Arial"/>
        </w:rPr>
        <w:t>1.3.1 Simple RW Model Architecture</w:t>
      </w:r>
    </w:p>
    <w:p>
      <w:pPr>
        <w:pStyle w:val="Duz4"/>
        <w:rPr>
          <w:rFonts w:ascii="Arial" w:hAnsi="Arial" w:cs="Arial"/>
        </w:rPr>
      </w:pPr>
      <w:r>
        <w:rPr>
          <w:rFonts w:cs="Arial" w:ascii="Arial" w:hAnsi="Arial"/>
        </w:rPr>
        <w:t>1.3.1.1 Value Updating and Prediction Error</w:t>
      </w:r>
    </w:p>
    <w:p>
      <w:pPr>
        <w:pStyle w:val="Normal"/>
        <w:rPr>
          <w:rFonts w:ascii="Arial" w:hAnsi="Arial" w:eastAsia="Calibri" w:cs="Arial"/>
        </w:rPr>
      </w:pPr>
      <w:r>
        <w:rPr>
          <w:rFonts w:eastAsia="Calibri" w:cs="Arial" w:ascii="Arial" w:hAnsi="Arial"/>
        </w:rPr>
        <w:t>For each trial t, the prediction error (</w:t>
      </w:r>
      <w:r>
        <w:rPr/>
      </w:r>
      <m:oMath xmlns:m="http://schemas.openxmlformats.org/officeDocument/2006/math">
        <m:sSub>
          <m:e>
            <m:r>
              <m:t xml:space="preserve">δ</m:t>
            </m:r>
          </m:e>
          <m:sub>
            <m:r>
              <m:t xml:space="preserve">t</m:t>
            </m:r>
          </m:sub>
        </m:sSub>
      </m:oMath>
      <w:r>
        <w:rPr>
          <w:rFonts w:eastAsia="Calibri" w:cs="Arial" w:ascii="Arial" w:hAnsi="Arial"/>
        </w:rPr>
        <w:t>) was calculated as the difference between the actual outcome received (</w:t>
      </w:r>
      <w:r>
        <w:rPr/>
      </w:r>
      <m:oMath xmlns:m="http://schemas.openxmlformats.org/officeDocument/2006/math">
        <m:sSub>
          <m:e>
            <m:r>
              <m:t xml:space="preserve">R</m:t>
            </m:r>
          </m:e>
          <m:sub>
            <m:r>
              <m:t xml:space="preserve">t</m:t>
            </m:r>
          </m:sub>
        </m:sSub>
      </m:oMath>
      <w:r>
        <w:rPr>
          <w:rFonts w:eastAsia="Calibri" w:cs="Arial" w:ascii="Arial" w:hAnsi="Arial"/>
        </w:rPr>
        <w:t>) and the participant’s expected value for the chosen action (</w:t>
      </w:r>
      <w:r>
        <w:rPr/>
      </w:r>
      <m:oMath xmlns:m="http://schemas.openxmlformats.org/officeDocument/2006/math">
        <m:sSub>
          <m:e>
            <m:r>
              <m:t xml:space="preserve">V</m:t>
            </m:r>
          </m:e>
          <m:sub>
            <m:r>
              <m:t xml:space="preserve">t</m:t>
            </m:r>
          </m:sub>
        </m:sSub>
      </m:oMath>
      <w:r>
        <w:rPr>
          <w:rFonts w:eastAsia="Calibri" w:cs="Arial" w:ascii="Arial" w:hAnsi="Arial"/>
        </w:rPr>
        <w:t>):</w:t>
      </w:r>
    </w:p>
    <w:p>
      <w:pPr>
        <w:pStyle w:val="Normal"/>
        <w:rPr>
          <w:rFonts w:ascii="Arial" w:hAnsi="Arial" w:eastAsia="Calibri" w:cs="Arial"/>
        </w:rPr>
      </w:pPr>
      <w:r>
        <w:rPr>
          <w:rFonts w:eastAsia="Calibri" w:cs="Arial" w:ascii="Arial" w:hAnsi="Arial"/>
        </w:rPr>
      </w:r>
    </w:p>
    <w:p>
      <w:pPr>
        <w:pStyle w:val="Normal"/>
        <w:jc w:val="center"/>
        <w:rPr>
          <w:rFonts w:ascii="Arial" w:hAnsi="Arial" w:eastAsia="Calibri" w:cs="Arial"/>
        </w:rPr>
      </w:pPr>
      <w:r>
        <w:rPr/>
      </w:r>
      <m:oMathPara xmlns:m="http://schemas.openxmlformats.org/officeDocument/2006/math">
        <m:oMathParaPr>
          <m:jc m:val="center"/>
        </m:oMathParaPr>
        <m:oMath>
          <m:sSub>
            <m:e>
              <m:r>
                <m:t xml:space="preserve">δ</m:t>
              </m:r>
            </m:e>
            <m:sub>
              <m:r>
                <m:t xml:space="preserve">t</m:t>
              </m:r>
            </m:sub>
          </m:sSub>
          <m:r>
            <m:rPr>
              <m:lit/>
              <m:nor/>
            </m:rPr>
            <m:t xml:space="preserve"> </m:t>
          </m:r>
          <m:r>
            <m:rPr>
              <m:lit/>
              <m:nor/>
            </m:rPr>
            <m:t xml:space="preserve">=</m:t>
          </m:r>
          <m:r>
            <m:rPr>
              <m:lit/>
              <m:nor/>
            </m:rPr>
            <m:t xml:space="preserve"> </m:t>
          </m:r>
          <m:sSub>
            <m:e>
              <m:r>
                <m:t xml:space="preserve">R</m:t>
              </m:r>
            </m:e>
            <m:sub>
              <m:r>
                <m:t xml:space="preserve">t</m:t>
              </m:r>
            </m:sub>
          </m:sSub>
          <m:r>
            <m:rPr>
              <m:lit/>
              <m:nor/>
            </m:rPr>
            <m:t xml:space="preserve"> </m:t>
          </m:r>
          <m:r>
            <m:t xml:space="preserve">–</m:t>
          </m:r>
          <m:r>
            <m:rPr>
              <m:lit/>
              <m:nor/>
            </m:rPr>
            <m:t xml:space="preserve"> </m:t>
          </m:r>
          <m:sSub>
            <m:e>
              <m:r>
                <m:t xml:space="preserve">V</m:t>
              </m:r>
            </m:e>
            <m:sub>
              <m:r>
                <m:t xml:space="preserve">t</m:t>
              </m:r>
            </m:sub>
          </m:sSub>
          <m:r>
            <m:rPr>
              <m:lit/>
              <m:nor/>
            </m:rPr>
            <m:t xml:space="preserve"> </m:t>
          </m:r>
        </m:oMath>
      </m:oMathPara>
    </w:p>
    <w:p>
      <w:pPr>
        <w:pStyle w:val="Normal"/>
        <w:rPr>
          <w:rFonts w:ascii="Arial" w:hAnsi="Arial" w:eastAsia="Calibri" w:cs="Arial"/>
        </w:rPr>
      </w:pPr>
      <w:r>
        <w:rPr>
          <w:rFonts w:eastAsia="Calibri" w:cs="Arial" w:ascii="Arial" w:hAnsi="Arial"/>
        </w:rPr>
      </w:r>
    </w:p>
    <w:p>
      <w:pPr>
        <w:pStyle w:val="Normal"/>
        <w:rPr>
          <w:rFonts w:ascii="Arial" w:hAnsi="Arial" w:eastAsia="Calibri" w:cs="Arial"/>
        </w:rPr>
      </w:pPr>
      <w:r>
        <w:rPr>
          <w:rFonts w:eastAsia="Calibri" w:cs="Arial" w:ascii="Arial" w:hAnsi="Arial"/>
        </w:rPr>
        <w:t>This prediction error was then used to update the expected value for that choice in the subsequent trial (</w:t>
      </w:r>
      <w:r>
        <w:rPr/>
      </w:r>
      <m:oMath xmlns:m="http://schemas.openxmlformats.org/officeDocument/2006/math">
        <m:r>
          <m:t xml:space="preserve">t</m:t>
        </m:r>
        <m:r>
          <m:rPr>
            <m:lit/>
            <m:nor/>
          </m:rPr>
          <m:t xml:space="preserve">+</m:t>
        </m:r>
        <m:r>
          <m:t xml:space="preserve">1</m:t>
        </m:r>
      </m:oMath>
      <w:r>
        <w:rPr>
          <w:rFonts w:eastAsia="Calibri" w:cs="Arial" w:ascii="Arial" w:hAnsi="Arial"/>
        </w:rPr>
        <w:t>), scaled by the learning rate (</w:t>
      </w:r>
      <w:r>
        <w:rPr/>
      </w:r>
      <m:oMath xmlns:m="http://schemas.openxmlformats.org/officeDocument/2006/math">
        <m:r>
          <m:t xml:space="preserve">α</m:t>
        </m:r>
      </m:oMath>
      <w:r>
        <w:rPr>
          <w:rFonts w:eastAsia="Calibri" w:cs="Arial" w:ascii="Arial" w:hAnsi="Arial"/>
        </w:rPr>
        <w:t>):</w:t>
      </w:r>
    </w:p>
    <w:p>
      <w:pPr>
        <w:pStyle w:val="Normal"/>
        <w:rPr>
          <w:rFonts w:ascii="Arial" w:hAnsi="Arial" w:eastAsia="Calibri" w:cs="Arial"/>
        </w:rPr>
      </w:pPr>
      <w:r>
        <w:rPr>
          <w:rFonts w:eastAsia="Calibri" w:cs="Arial" w:ascii="Arial" w:hAnsi="Arial"/>
        </w:rPr>
      </w:r>
    </w:p>
    <w:p>
      <w:pPr>
        <w:pStyle w:val="Normal"/>
        <w:jc w:val="center"/>
        <w:rPr>
          <w:rFonts w:ascii="Arial" w:hAnsi="Arial" w:eastAsia="Calibri" w:cs="Arial"/>
        </w:rPr>
      </w:pPr>
      <w:r>
        <w:rPr/>
      </w:r>
      <m:oMathPara xmlns:m="http://schemas.openxmlformats.org/officeDocument/2006/math">
        <m:oMathParaPr>
          <m:jc m:val="center"/>
        </m:oMathParaPr>
        <m:oMath>
          <m:sSub>
            <m:e>
              <m:r>
                <m:t xml:space="preserve">V</m:t>
              </m:r>
            </m:e>
            <m:sub>
              <m:r>
                <m:t xml:space="preserve">t</m:t>
              </m:r>
              <m:r>
                <m:rPr>
                  <m:lit/>
                  <m:nor/>
                </m:rPr>
                <m:t xml:space="preserve">+</m:t>
              </m:r>
              <m:r>
                <m:t xml:space="preserve">1</m:t>
              </m:r>
            </m:sub>
          </m:sSub>
          <m:r>
            <m:rPr>
              <m:lit/>
              <m:nor/>
            </m:rPr>
            <m:t xml:space="preserve"> </m:t>
          </m:r>
          <m:r>
            <m:rPr>
              <m:lit/>
              <m:nor/>
            </m:rPr>
            <m:t xml:space="preserve">=</m:t>
          </m:r>
          <m:r>
            <m:rPr>
              <m:lit/>
              <m:nor/>
            </m:rPr>
            <m:t xml:space="preserve"> </m:t>
          </m:r>
          <m:sSub>
            <m:e>
              <m:r>
                <m:t xml:space="preserve">V</m:t>
              </m:r>
            </m:e>
            <m:sub>
              <m:r>
                <m:t xml:space="preserve">t</m:t>
              </m:r>
            </m:sub>
          </m:sSub>
          <m:r>
            <m:rPr>
              <m:lit/>
              <m:nor/>
            </m:rPr>
            <m:t xml:space="preserve"> </m:t>
          </m:r>
          <m:r>
            <m:rPr>
              <m:lit/>
              <m:nor/>
            </m:rPr>
            <m:t xml:space="preserve">+</m:t>
          </m:r>
          <m:r>
            <m:t xml:space="preserve">α</m:t>
          </m:r>
          <m:r>
            <m:rPr>
              <m:lit/>
              <m:nor/>
            </m:rPr>
            <m:t xml:space="preserve"> </m:t>
          </m:r>
          <m:r>
            <m:t xml:space="preserve">⋅</m:t>
          </m:r>
          <m:r>
            <m:rPr>
              <m:lit/>
              <m:nor/>
            </m:rPr>
            <m:t xml:space="preserve"> </m:t>
          </m:r>
          <m:sSub>
            <m:e>
              <m:r>
                <m:t xml:space="preserve">δ</m:t>
              </m:r>
            </m:e>
            <m:sub>
              <m:r>
                <m:t xml:space="preserve">t</m:t>
              </m:r>
            </m:sub>
          </m:sSub>
        </m:oMath>
      </m:oMathPara>
    </w:p>
    <w:p>
      <w:pPr>
        <w:pStyle w:val="Normal"/>
        <w:rPr>
          <w:rFonts w:ascii="Arial" w:hAnsi="Arial" w:eastAsia="Calibri" w:cs="Arial"/>
        </w:rPr>
      </w:pPr>
      <w:r>
        <w:rPr>
          <w:rFonts w:eastAsia="Calibri" w:cs="Arial" w:ascii="Arial" w:hAnsi="Arial"/>
        </w:rPr>
      </w:r>
    </w:p>
    <w:p>
      <w:pPr>
        <w:pStyle w:val="Normal"/>
        <w:rPr>
          <w:rFonts w:ascii="Arial" w:hAnsi="Arial" w:eastAsia="Calibri" w:cs="Arial"/>
        </w:rPr>
      </w:pPr>
      <w:r>
        <w:rPr>
          <w:rFonts w:eastAsia="Calibri" w:cs="Arial" w:ascii="Arial" w:hAnsi="Arial"/>
        </w:rPr>
        <w:t>The learning rate (</w:t>
      </w:r>
      <w:r>
        <w:rPr/>
      </w:r>
      <m:oMath xmlns:m="http://schemas.openxmlformats.org/officeDocument/2006/math">
        <m:r>
          <m:t xml:space="preserve">0</m:t>
        </m:r>
        <m:r>
          <m:t xml:space="preserve">≤</m:t>
        </m:r>
        <m:r>
          <m:t xml:space="preserve">α</m:t>
        </m:r>
        <m:r>
          <m:rPr>
            <m:lit/>
            <m:nor/>
          </m:rPr>
          <m:t xml:space="preserve"> </m:t>
        </m:r>
        <m:r>
          <m:t xml:space="preserve">≤</m:t>
        </m:r>
        <m:r>
          <m:t xml:space="preserve">1</m:t>
        </m:r>
        <m:r>
          <m:t xml:space="preserve">)</m:t>
        </m:r>
      </m:oMath>
      <w:r>
        <w:rPr>
          <w:rFonts w:eastAsia="Calibri" w:cs="Arial" w:ascii="Arial" w:hAnsi="Arial"/>
        </w:rPr>
        <w:t xml:space="preserve"> dictates the extent which a newly acquired information overrides older information. A higher </w:t>
      </w:r>
      <w:r>
        <w:rPr/>
      </w:r>
      <m:oMath xmlns:m="http://schemas.openxmlformats.org/officeDocument/2006/math">
        <m:r>
          <m:t xml:space="preserve">α</m:t>
        </m:r>
      </m:oMath>
      <w:r>
        <w:rPr>
          <w:rFonts w:eastAsia="Calibri" w:cs="Arial" w:ascii="Arial" w:hAnsi="Arial"/>
        </w:rPr>
        <w:t xml:space="preserve">  indicates rapid updating based on recent feedback, whereas a lower </w:t>
      </w:r>
      <w:r>
        <w:rPr/>
      </w:r>
      <m:oMath xmlns:m="http://schemas.openxmlformats.org/officeDocument/2006/math">
        <m:r>
          <m:t xml:space="preserve">α</m:t>
        </m:r>
      </m:oMath>
      <w:r>
        <w:rPr>
          <w:rFonts w:eastAsia="Calibri" w:cs="Arial" w:ascii="Arial" w:hAnsi="Arial"/>
        </w:rPr>
        <w:t xml:space="preserve"> reflects slower, more integrated learning over time. </w:t>
      </w:r>
    </w:p>
    <w:p>
      <w:pPr>
        <w:pStyle w:val="Normal"/>
        <w:rPr>
          <w:rFonts w:ascii="Arial" w:hAnsi="Arial" w:eastAsia="Calibri" w:cs="Arial"/>
        </w:rPr>
      </w:pPr>
      <w:r>
        <w:rPr>
          <w:rFonts w:eastAsia="Calibri" w:cs="Arial" w:ascii="Arial" w:hAnsi="Arial"/>
        </w:rPr>
      </w:r>
    </w:p>
    <w:p>
      <w:pPr>
        <w:pStyle w:val="Duz4"/>
        <w:rPr>
          <w:rFonts w:ascii="Arial" w:hAnsi="Arial" w:cs="Arial"/>
        </w:rPr>
      </w:pPr>
      <w:r>
        <w:rPr>
          <w:rFonts w:cs="Arial" w:ascii="Arial" w:hAnsi="Arial"/>
        </w:rPr>
        <w:t>1.3.1.2 Action Selection</w:t>
      </w:r>
    </w:p>
    <w:p>
      <w:pPr>
        <w:pStyle w:val="Normal"/>
        <w:rPr>
          <w:rFonts w:ascii="Arial" w:hAnsi="Arial" w:cs="Arial"/>
        </w:rPr>
      </w:pPr>
      <w:r>
        <w:rPr>
          <w:rFonts w:cs="Arial" w:ascii="Arial" w:hAnsi="Arial"/>
        </w:rPr>
        <w:t xml:space="preserve">To model how the participants translated these internal expected values into actual choices, we utilized a Softmax action selection rule. </w:t>
      </w:r>
      <w:r>
        <w:rPr>
          <w:rFonts w:eastAsia="Calibri" w:cs="Arial" w:ascii="Arial" w:hAnsi="Arial"/>
        </w:rPr>
        <w:t xml:space="preserve">The probability of choosing to invest in trial </w:t>
      </w:r>
      <w:r>
        <w:rPr/>
      </w:r>
      <m:oMath xmlns:m="http://schemas.openxmlformats.org/officeDocument/2006/math">
        <m:r>
          <m:t xml:space="preserve">t</m:t>
        </m:r>
      </m:oMath>
      <w:r>
        <w:rPr>
          <w:rFonts w:eastAsia="Calibri" w:cs="Arial" w:ascii="Arial" w:hAnsi="Arial"/>
        </w:rPr>
        <w:t xml:space="preserve"> was determined by a Softmax choice rule:</w:t>
      </w:r>
    </w:p>
    <w:p>
      <w:pPr>
        <w:pStyle w:val="Normal"/>
        <w:rPr>
          <w:rFonts w:ascii="Arial" w:hAnsi="Arial" w:eastAsia="Calibri" w:cs="Arial"/>
        </w:rPr>
      </w:pPr>
      <w:r>
        <w:rPr>
          <w:rFonts w:eastAsia="Calibri" w:cs="Arial" w:ascii="Arial" w:hAnsi="Arial"/>
        </w:rPr>
      </w:r>
    </w:p>
    <w:p>
      <w:pPr>
        <w:pStyle w:val="Normal"/>
        <w:jc w:val="center"/>
        <w:rPr>
          <w:rFonts w:ascii="Arial" w:hAnsi="Arial" w:eastAsia="Calibri" w:cs="Arial"/>
        </w:rPr>
      </w:pPr>
      <w:r>
        <w:rPr/>
      </w:r>
      <m:oMathPara xmlns:m="http://schemas.openxmlformats.org/officeDocument/2006/math">
        <m:oMathParaPr>
          <m:jc m:val="center"/>
        </m:oMathParaPr>
        <m:oMath>
          <m:r>
            <m:t xml:space="preserve">P</m:t>
          </m:r>
          <m:r>
            <m:t xml:space="preserve">(</m:t>
          </m:r>
          <m:r>
            <m:t xml:space="preserve">inves</m:t>
          </m:r>
          <m:sSub>
            <m:e>
              <m:r>
                <m:t xml:space="preserve">t</m:t>
              </m:r>
            </m:e>
            <m:sub>
              <m:r>
                <m:t xml:space="preserve">t</m:t>
              </m:r>
            </m:sub>
          </m:sSub>
          <m:r>
            <m:t xml:space="preserve">)</m:t>
          </m:r>
          <m:r>
            <m:rPr>
              <m:lit/>
              <m:nor/>
            </m:rPr>
            <m:t xml:space="preserve"> </m:t>
          </m:r>
          <m:r>
            <m:rPr>
              <m:lit/>
              <m:nor/>
            </m:rPr>
            <m:t xml:space="preserve">=</m:t>
          </m:r>
          <m:r>
            <m:rPr>
              <m:lit/>
              <m:nor/>
            </m:rPr>
            <m:t xml:space="preserve"> </m:t>
          </m:r>
          <m:f>
            <m:num>
              <m:r>
                <m:t xml:space="preserve">1</m:t>
              </m:r>
            </m:num>
            <m:den>
              <m:r>
                <m:t xml:space="preserve">1</m:t>
              </m:r>
              <m:r>
                <m:rPr>
                  <m:lit/>
                  <m:nor/>
                </m:rPr>
                <m:t xml:space="preserve">+</m:t>
              </m:r>
              <m:sSup>
                <m:e>
                  <m:r>
                    <m:t xml:space="preserve">e</m:t>
                  </m:r>
                </m:e>
                <m:sup>
                  <m:r>
                    <m:rPr>
                      <m:lit/>
                      <m:nor/>
                    </m:rPr>
                    <m:t xml:space="preserve">-</m:t>
                  </m:r>
                  <m:r>
                    <m:t xml:space="preserve">β</m:t>
                  </m:r>
                  <m:r>
                    <m:t xml:space="preserve">(</m:t>
                  </m:r>
                  <m:sSub>
                    <m:e>
                      <m:r>
                        <m:t xml:space="preserve">V</m:t>
                      </m:r>
                    </m:e>
                    <m:sub>
                      <m:r>
                        <m:t xml:space="preserve">t</m:t>
                      </m:r>
                    </m:sub>
                  </m:sSub>
                  <m:r>
                    <m:rPr>
                      <m:lit/>
                      <m:nor/>
                    </m:rPr>
                    <m:t xml:space="preserve">-</m:t>
                  </m:r>
                  <m:sSub>
                    <m:e>
                      <m:r>
                        <m:t xml:space="preserve">V</m:t>
                      </m:r>
                    </m:e>
                    <m:sub>
                      <m:r>
                        <m:t xml:space="preserve">keep</m:t>
                      </m:r>
                    </m:sub>
                  </m:sSub>
                  <m:r>
                    <m:t xml:space="preserve">)</m:t>
                  </m:r>
                </m:sup>
              </m:sSup>
            </m:den>
          </m:f>
        </m:oMath>
      </m:oMathPara>
    </w:p>
    <w:p>
      <w:pPr>
        <w:pStyle w:val="Normal"/>
        <w:rPr>
          <w:rFonts w:ascii="Arial" w:hAnsi="Arial" w:eastAsia="Calibri" w:cs="Arial"/>
        </w:rPr>
      </w:pPr>
      <w:r>
        <w:rPr>
          <w:rFonts w:eastAsia="Calibri" w:cs="Arial" w:ascii="Arial" w:hAnsi="Arial"/>
        </w:rPr>
      </w:r>
    </w:p>
    <w:p>
      <w:pPr>
        <w:pStyle w:val="Normal"/>
        <w:rPr>
          <w:rFonts w:ascii="Arial" w:hAnsi="Arial" w:eastAsia="Calibri" w:cs="Arial"/>
        </w:rPr>
      </w:pPr>
      <w:r>
        <w:rPr>
          <w:rFonts w:eastAsia="Calibri" w:cs="Arial" w:ascii="Arial" w:hAnsi="Arial"/>
        </w:rPr>
        <w:t xml:space="preserve">Here, </w:t>
      </w:r>
      <w:r>
        <w:rPr/>
      </w:r>
      <m:oMath xmlns:m="http://schemas.openxmlformats.org/officeDocument/2006/math">
        <m:sSub>
          <m:e>
            <m:r>
              <m:t xml:space="preserve">V</m:t>
            </m:r>
          </m:e>
          <m:sub>
            <m:r>
              <m:t xml:space="preserve">keep</m:t>
            </m:r>
          </m:sub>
        </m:sSub>
      </m:oMath>
      <w:r>
        <w:rPr>
          <w:rFonts w:eastAsia="Calibri" w:cs="Arial" w:ascii="Arial" w:hAnsi="Arial"/>
        </w:rPr>
        <w:t xml:space="preserve"> represents the constant value of the safe option and </w:t>
      </w:r>
      <w:r>
        <w:rPr/>
      </w:r>
      <m:oMath xmlns:m="http://schemas.openxmlformats.org/officeDocument/2006/math">
        <m:r>
          <m:t xml:space="preserve">β</m:t>
        </m:r>
      </m:oMath>
      <w:r>
        <w:rPr>
          <w:rFonts w:eastAsia="Calibri" w:cs="Arial" w:ascii="Arial" w:hAnsi="Arial"/>
        </w:rPr>
        <w:t xml:space="preserve"> (inverse temperature) represents the subjects’ decision consistency or sensitivity to the value difference. A low </w:t>
      </w:r>
      <w:r>
        <w:rPr/>
      </w:r>
      <m:oMath xmlns:m="http://schemas.openxmlformats.org/officeDocument/2006/math">
        <m:r>
          <m:t xml:space="preserve">β</m:t>
        </m:r>
      </m:oMath>
      <w:r>
        <w:rPr>
          <w:rFonts w:eastAsia="Calibri" w:cs="Arial" w:ascii="Arial" w:hAnsi="Arial"/>
        </w:rPr>
        <w:t xml:space="preserve"> (approaching zero) flattens the choice probability distribution, reflecting high decision noise where the participant explores randomly regardless of the learned values. A high </w:t>
      </w:r>
      <w:r>
        <w:rPr/>
      </w:r>
      <m:oMath xmlns:m="http://schemas.openxmlformats.org/officeDocument/2006/math">
        <m:r>
          <m:t xml:space="preserve">β</m:t>
        </m:r>
      </m:oMath>
      <w:r>
        <w:rPr>
          <w:rFonts w:eastAsia="Calibri" w:cs="Arial" w:ascii="Arial" w:hAnsi="Arial"/>
        </w:rPr>
        <w:t xml:space="preserve"> steepens the distribution, indicating precise, value-driven behavior where the participant strictly chooses the mathematically optimal option.</w:t>
      </w:r>
    </w:p>
    <w:p>
      <w:pPr>
        <w:pStyle w:val="Duz3"/>
        <w:rPr>
          <w:rFonts w:ascii="Arial" w:hAnsi="Arial" w:cs="Arial"/>
        </w:rPr>
      </w:pPr>
      <w:r>
        <w:rPr>
          <w:rFonts w:cs="Arial" w:ascii="Arial" w:hAnsi="Arial"/>
        </w:rPr>
        <w:t>1.3.2 Alternative Computational Architectures</w:t>
      </w:r>
    </w:p>
    <w:p>
      <w:pPr>
        <w:pStyle w:val="Normal"/>
        <w:rPr>
          <w:rFonts w:ascii="Arial" w:hAnsi="Arial" w:eastAsia="Calibri" w:cs="Arial"/>
        </w:rPr>
      </w:pPr>
      <w:r>
        <w:rPr>
          <w:rFonts w:eastAsia="Calibri" w:cs="Arial" w:ascii="Arial" w:hAnsi="Arial"/>
        </w:rPr>
        <w:t>To rigorously evaluate the cognitive mechanisms underlying participant behavior, we compared the simple Rescorla-Wagner model against three alternative architectures: a baseline null model, an asymmetric dual-learning rate model, and a dynamically adaptive learning rate model.</w:t>
      </w:r>
    </w:p>
    <w:p>
      <w:pPr>
        <w:pStyle w:val="Duz4"/>
        <w:rPr>
          <w:rFonts w:ascii="Arial" w:hAnsi="Arial" w:cs="Arial"/>
        </w:rPr>
      </w:pPr>
      <w:r>
        <w:rPr>
          <w:rFonts w:cs="Arial" w:ascii="Arial" w:hAnsi="Arial"/>
        </w:rPr>
        <w:t>1.3.2.1 Null (Random Choice) Model</w:t>
      </w:r>
    </w:p>
    <w:p>
      <w:pPr>
        <w:pStyle w:val="Normal"/>
        <w:rPr>
          <w:rFonts w:ascii="Arial" w:hAnsi="Arial" w:eastAsia="Calibri" w:cs="Arial"/>
        </w:rPr>
      </w:pPr>
      <w:r>
        <w:rPr>
          <w:rFonts w:eastAsia="Calibri" w:cs="Arial" w:ascii="Arial" w:hAnsi="Arial"/>
        </w:rPr>
        <w:t xml:space="preserve">The Null model serves as a zero-parameter baseline representing purely random, non-adaptive choice behavior. This model assumes that the participant does not process prediction errors or update expected values based on the trustee's feedback. The probability of choosing to invest on any given trial is fixed at chance: </w:t>
      </w:r>
    </w:p>
    <w:p>
      <w:pPr>
        <w:pStyle w:val="Normal"/>
        <w:jc w:val="center"/>
        <w:rPr>
          <w:rFonts w:ascii="Arial" w:hAnsi="Arial" w:eastAsia="Calibri" w:cs="Arial"/>
        </w:rPr>
      </w:pPr>
      <w:r>
        <w:rPr/>
      </w:r>
      <m:oMathPara xmlns:m="http://schemas.openxmlformats.org/officeDocument/2006/math">
        <m:oMathParaPr>
          <m:jc m:val="center"/>
        </m:oMathParaPr>
        <m:oMath>
          <m:r>
            <m:t xml:space="preserve">P</m:t>
          </m:r>
          <m:r>
            <m:t xml:space="preserve">(</m:t>
          </m:r>
          <m:r>
            <m:t xml:space="preserve">inves</m:t>
          </m:r>
          <m:sSub>
            <m:e>
              <m:r>
                <m:t xml:space="preserve">t</m:t>
              </m:r>
            </m:e>
            <m:sub>
              <m:r>
                <m:t xml:space="preserve">t</m:t>
              </m:r>
            </m:sub>
          </m:sSub>
          <m:r>
            <m:t xml:space="preserve">)</m:t>
          </m:r>
          <m:r>
            <m:rPr>
              <m:lit/>
              <m:nor/>
            </m:rPr>
            <m:t xml:space="preserve"> </m:t>
          </m:r>
          <m:r>
            <m:rPr>
              <m:lit/>
              <m:nor/>
            </m:rPr>
            <m:t xml:space="preserve">=</m:t>
          </m:r>
          <m:r>
            <m:rPr>
              <m:lit/>
              <m:nor/>
            </m:rPr>
            <m:t xml:space="preserve"> </m:t>
          </m:r>
          <m:r>
            <m:t xml:space="preserve">0.5</m:t>
          </m:r>
        </m:oMath>
      </m:oMathPara>
    </w:p>
    <w:p>
      <w:pPr>
        <w:pStyle w:val="Normal"/>
        <w:rPr>
          <w:rFonts w:ascii="Arial" w:hAnsi="Arial" w:eastAsia="Calibri" w:cs="Arial"/>
        </w:rPr>
      </w:pPr>
      <w:r>
        <w:rPr>
          <w:rFonts w:eastAsia="Calibri" w:cs="Arial" w:ascii="Arial" w:hAnsi="Arial"/>
        </w:rPr>
        <w:t>Comparing learning models to this baseline allows us to calculate pseudo-R</w:t>
      </w:r>
      <w:r>
        <w:rPr>
          <w:rFonts w:eastAsia="Calibri" w:cs="Arial" w:ascii="Arial" w:hAnsi="Arial"/>
          <w:vertAlign w:val="superscript"/>
        </w:rPr>
        <w:t>2</w:t>
      </w:r>
      <w:r>
        <w:rPr>
          <w:rFonts w:eastAsia="Calibri" w:cs="Arial" w:ascii="Arial" w:hAnsi="Arial"/>
        </w:rPr>
        <w:t xml:space="preserve"> metrics and identify individuals who completely failed to utilize a feedback-driven strategy.</w:t>
      </w:r>
    </w:p>
    <w:p>
      <w:pPr>
        <w:pStyle w:val="Duz4"/>
        <w:rPr>
          <w:rFonts w:ascii="Arial" w:hAnsi="Arial" w:cs="Arial"/>
        </w:rPr>
      </w:pPr>
      <w:r>
        <w:rPr>
          <w:rFonts w:cs="Arial" w:ascii="Arial" w:hAnsi="Arial"/>
        </w:rPr>
        <w:t>1.3.2.2 Dual Alpha (Asymetric Learning) Model</w:t>
      </w:r>
    </w:p>
    <w:p>
      <w:pPr>
        <w:pStyle w:val="Normal"/>
        <w:rPr>
          <w:rFonts w:ascii="Arial" w:hAnsi="Arial" w:eastAsia="Calibri" w:cs="Arial"/>
        </w:rPr>
      </w:pPr>
      <w:r>
        <w:rPr>
          <w:rFonts w:eastAsia="Calibri" w:cs="Arial" w:ascii="Arial" w:hAnsi="Arial"/>
        </w:rPr>
        <w:t xml:space="preserve">To account for potential valence-dependent learning biases—specifically whether participants update their expectations differently following cooperative (positive) versus exploitative (negative) feedback, we implemented an asymmetric Dual Alpha model. While the prediction error </w:t>
      </w:r>
      <w:r>
        <w:rPr/>
      </w:r>
      <m:oMath xmlns:m="http://schemas.openxmlformats.org/officeDocument/2006/math">
        <m:r>
          <m:t xml:space="preserve">(</m:t>
        </m:r>
        <m:sSub>
          <m:e>
            <m:r>
              <m:t xml:space="preserve">δ</m:t>
            </m:r>
          </m:e>
          <m:sub>
            <m:r>
              <m:t xml:space="preserve">t</m:t>
            </m:r>
          </m:sub>
        </m:sSub>
      </m:oMath>
      <w:r>
        <w:rPr>
          <w:rFonts w:eastAsia="Calibri" w:cs="Arial" w:ascii="Arial" w:hAnsi="Arial"/>
        </w:rPr>
        <w:t>) is calculated identically to the simple model, the value update rule utilizes two distinct learning rates separated by the sign of the prediction error:</w:t>
      </w:r>
    </w:p>
    <w:p>
      <w:pPr>
        <w:pStyle w:val="Normal"/>
        <w:jc w:val="center"/>
        <w:rPr>
          <w:rFonts w:ascii="Arial" w:hAnsi="Arial" w:eastAsia="Calibri" w:cs="Arial"/>
        </w:rPr>
      </w:pPr>
      <w:r>
        <w:rPr/>
      </w:r>
      <m:oMathPara xmlns:m="http://schemas.openxmlformats.org/officeDocument/2006/math">
        <m:oMathParaPr>
          <m:jc m:val="center"/>
        </m:oMathParaPr>
        <m:oMath>
          <m:sSub>
            <m:e>
              <m:r>
                <m:t xml:space="preserve">V</m:t>
              </m:r>
            </m:e>
            <m:sub>
              <m:r>
                <m:t xml:space="preserve">t</m:t>
              </m:r>
              <m:r>
                <m:rPr>
                  <m:lit/>
                  <m:nor/>
                </m:rPr>
                <m:t xml:space="preserve">+</m:t>
              </m:r>
              <m:r>
                <m:t xml:space="preserve">1</m:t>
              </m:r>
            </m:sub>
          </m:sSub>
          <m:r>
            <m:rPr>
              <m:lit/>
              <m:nor/>
            </m:rPr>
            <m:t xml:space="preserve">=</m:t>
          </m:r>
          <m:sSub>
            <m:e>
              <m:r>
                <m:t xml:space="preserve">V</m:t>
              </m:r>
            </m:e>
            <m:sub>
              <m:r>
                <m:t xml:space="preserve">t</m:t>
              </m:r>
            </m:sub>
          </m:sSub>
          <m:r>
            <m:rPr>
              <m:lit/>
              <m:nor/>
            </m:rPr>
            <m:t xml:space="preserve">+</m:t>
          </m:r>
          <m:sSup>
            <m:e>
              <m:r>
                <m:t xml:space="preserve">α</m:t>
              </m:r>
            </m:e>
            <m:sup>
              <m:r>
                <m:rPr>
                  <m:lit/>
                  <m:nor/>
                </m:rPr>
                <m:t xml:space="preserve">+</m:t>
              </m:r>
            </m:sup>
          </m:sSup>
          <m:r>
            <m:t xml:space="preserve">⋅</m:t>
          </m:r>
          <m:sSub>
            <m:e>
              <m:r>
                <m:t xml:space="preserve">δ</m:t>
              </m:r>
            </m:e>
            <m:sub>
              <m:r>
                <m:t xml:space="preserve">t</m:t>
              </m:r>
            </m:sub>
          </m:sSub>
          <m:r>
            <m:rPr>
              <m:lit/>
              <m:nor/>
            </m:rPr>
            <m:t xml:space="preserve"> </m:t>
          </m:r>
          <m:r>
            <m:rPr>
              <m:lit/>
              <m:nor/>
            </m:rPr>
            <m:t xml:space="preserve"> </m:t>
          </m:r>
          <m:r>
            <m:t xml:space="preserve">if</m:t>
          </m:r>
          <m:r>
            <m:rPr>
              <m:lit/>
              <m:nor/>
            </m:rPr>
            <m:t xml:space="preserve"> </m:t>
          </m:r>
          <m:sSub>
            <m:e>
              <m:r>
                <m:t xml:space="preserve">δ</m:t>
              </m:r>
            </m:e>
            <m:sub>
              <m:r>
                <m:t xml:space="preserve">t</m:t>
              </m:r>
            </m:sub>
          </m:sSub>
          <m:r>
            <m:rPr>
              <m:lit/>
              <m:nor/>
            </m:rPr>
            <m:t xml:space="preserve">&gt;</m:t>
          </m:r>
          <m:r>
            <m:t xml:space="preserve">0</m:t>
          </m:r>
          <m:r>
            <m:rPr>
              <m:lit/>
              <m:nor/>
            </m:rPr>
            <m:t xml:space="preserve"> </m:t>
          </m:r>
        </m:oMath>
      </m:oMathPara>
    </w:p>
    <w:p>
      <w:pPr>
        <w:pStyle w:val="Normal"/>
        <w:jc w:val="center"/>
        <w:rPr>
          <w:rFonts w:ascii="Arial" w:hAnsi="Arial" w:eastAsia="Calibri" w:cs="Arial"/>
        </w:rPr>
      </w:pPr>
      <w:r>
        <w:rPr/>
      </w:r>
      <m:oMathPara xmlns:m="http://schemas.openxmlformats.org/officeDocument/2006/math">
        <m:oMathParaPr>
          <m:jc m:val="center"/>
        </m:oMathParaPr>
        <m:oMath>
          <m:sSub>
            <m:e>
              <m:r>
                <m:t xml:space="preserve">V</m:t>
              </m:r>
            </m:e>
            <m:sub>
              <m:r>
                <m:t xml:space="preserve">t</m:t>
              </m:r>
              <m:r>
                <m:rPr>
                  <m:lit/>
                  <m:nor/>
                </m:rPr>
                <m:t xml:space="preserve">+</m:t>
              </m:r>
              <m:r>
                <m:t xml:space="preserve">1</m:t>
              </m:r>
            </m:sub>
          </m:sSub>
          <m:r>
            <m:rPr>
              <m:lit/>
              <m:nor/>
            </m:rPr>
            <m:t xml:space="preserve">=</m:t>
          </m:r>
          <m:sSub>
            <m:e>
              <m:r>
                <m:t xml:space="preserve">V</m:t>
              </m:r>
            </m:e>
            <m:sub>
              <m:r>
                <m:t xml:space="preserve">t</m:t>
              </m:r>
            </m:sub>
          </m:sSub>
          <m:r>
            <m:rPr>
              <m:lit/>
              <m:nor/>
            </m:rPr>
            <m:t xml:space="preserve">+</m:t>
          </m:r>
          <m:sSup>
            <m:e>
              <m:r>
                <m:t xml:space="preserve">α</m:t>
              </m:r>
            </m:e>
            <m:sup>
              <m:r>
                <m:rPr>
                  <m:lit/>
                  <m:nor/>
                </m:rPr>
                <m:t xml:space="preserve">-</m:t>
              </m:r>
            </m:sup>
          </m:sSup>
          <m:r>
            <m:t xml:space="preserve">⋅</m:t>
          </m:r>
          <m:sSub>
            <m:e>
              <m:r>
                <m:t xml:space="preserve">δ</m:t>
              </m:r>
            </m:e>
            <m:sub>
              <m:r>
                <m:t xml:space="preserve">t</m:t>
              </m:r>
            </m:sub>
          </m:sSub>
          <m:r>
            <m:rPr>
              <m:lit/>
              <m:nor/>
            </m:rPr>
            <m:t xml:space="preserve"> </m:t>
          </m:r>
          <m:r>
            <m:rPr>
              <m:lit/>
              <m:nor/>
            </m:rPr>
            <m:t xml:space="preserve"> </m:t>
          </m:r>
          <m:r>
            <m:t xml:space="preserve">if</m:t>
          </m:r>
          <m:r>
            <m:rPr>
              <m:lit/>
              <m:nor/>
            </m:rPr>
            <m:t xml:space="preserve"> </m:t>
          </m:r>
          <m:sSub>
            <m:e>
              <m:r>
                <m:t xml:space="preserve">δ</m:t>
              </m:r>
            </m:e>
            <m:sub>
              <m:r>
                <m:t xml:space="preserve">t</m:t>
              </m:r>
            </m:sub>
          </m:sSub>
          <m:r>
            <m:rPr>
              <m:lit/>
              <m:nor/>
            </m:rPr>
            <m:t xml:space="preserve"> </m:t>
          </m:r>
          <m:r>
            <m:t xml:space="preserve">≤</m:t>
          </m:r>
          <m:r>
            <m:t xml:space="preserve">0</m:t>
          </m:r>
          <m:r>
            <m:rPr>
              <m:lit/>
              <m:nor/>
            </m:rPr>
            <m:t xml:space="preserve"> </m:t>
          </m:r>
        </m:oMath>
      </m:oMathPara>
    </w:p>
    <w:p>
      <w:pPr>
        <w:pStyle w:val="Normal"/>
        <w:rPr>
          <w:rFonts w:ascii="Arial" w:hAnsi="Arial" w:eastAsia="Calibri" w:cs="Arial"/>
        </w:rPr>
      </w:pPr>
      <w:r>
        <w:rPr>
          <w:rFonts w:eastAsia="Calibri" w:cs="Arial" w:ascii="Arial" w:hAnsi="Arial"/>
        </w:rPr>
      </w:r>
    </w:p>
    <w:p>
      <w:pPr>
        <w:pStyle w:val="Normal"/>
        <w:rPr>
          <w:rFonts w:ascii="Arial" w:hAnsi="Arial" w:eastAsia="Calibri" w:cs="Arial"/>
        </w:rPr>
      </w:pPr>
      <w:r>
        <w:rPr>
          <w:rFonts w:eastAsia="Calibri" w:cs="Arial" w:ascii="Arial" w:hAnsi="Arial"/>
        </w:rPr>
        <w:t xml:space="preserve">Here, </w:t>
      </w:r>
      <w:r>
        <w:rPr/>
      </w:r>
      <m:oMath xmlns:m="http://schemas.openxmlformats.org/officeDocument/2006/math">
        <m:sSup>
          <m:e>
            <m:r>
              <m:t xml:space="preserve">α</m:t>
            </m:r>
          </m:e>
          <m:sup>
            <m:r>
              <m:rPr>
                <m:lit/>
                <m:nor/>
              </m:rPr>
              <m:t xml:space="preserve">+</m:t>
            </m:r>
          </m:sup>
        </m:sSup>
      </m:oMath>
      <w:r>
        <w:rPr>
          <w:rFonts w:eastAsia="Calibri" w:cs="Arial" w:ascii="Arial" w:hAnsi="Arial"/>
        </w:rPr>
        <w:t xml:space="preserve"> governs belief updating following better-than-expected outcomes (trustee reciprocates), while </w:t>
      </w:r>
      <w:r>
        <w:rPr/>
      </w:r>
      <m:oMath xmlns:m="http://schemas.openxmlformats.org/officeDocument/2006/math">
        <m:sSup>
          <m:e>
            <m:r>
              <m:t xml:space="preserve">α</m:t>
            </m:r>
          </m:e>
          <m:sup>
            <m:r>
              <m:rPr>
                <m:lit/>
                <m:nor/>
              </m:rPr>
              <m:t xml:space="preserve">-</m:t>
            </m:r>
          </m:sup>
        </m:sSup>
      </m:oMath>
      <w:r>
        <w:rPr>
          <w:rFonts w:eastAsia="Calibri" w:cs="Arial" w:ascii="Arial" w:hAnsi="Arial"/>
        </w:rPr>
        <w:t xml:space="preserve"> dictates updating after worse-than-expected outcomes (trustee betrays). This architecture comprises three free parameters: </w:t>
      </w:r>
      <w:r>
        <w:rPr/>
      </w:r>
      <m:oMath xmlns:m="http://schemas.openxmlformats.org/officeDocument/2006/math">
        <m:sSup>
          <m:e>
            <m:r>
              <m:t xml:space="preserve">α</m:t>
            </m:r>
          </m:e>
          <m:sup>
            <m:r>
              <m:rPr>
                <m:lit/>
                <m:nor/>
              </m:rPr>
              <m:t xml:space="preserve">+</m:t>
            </m:r>
          </m:sup>
        </m:sSup>
      </m:oMath>
      <w:r>
        <w:rPr>
          <w:rFonts w:eastAsia="Calibri" w:cs="Arial" w:ascii="Arial" w:hAnsi="Arial"/>
        </w:rPr>
        <w:t xml:space="preserve">, </w:t>
      </w:r>
      <w:r>
        <w:rPr/>
      </w:r>
      <m:oMath xmlns:m="http://schemas.openxmlformats.org/officeDocument/2006/math">
        <m:sSup>
          <m:e>
            <m:r>
              <m:t xml:space="preserve">α</m:t>
            </m:r>
          </m:e>
          <m:sup>
            <m:r>
              <m:rPr>
                <m:lit/>
                <m:nor/>
              </m:rPr>
              <m:t xml:space="preserve">-</m:t>
            </m:r>
          </m:sup>
        </m:sSup>
      </m:oMath>
      <w:r>
        <w:rPr>
          <w:rFonts w:eastAsia="Calibri" w:cs="Arial" w:ascii="Arial" w:hAnsi="Arial"/>
        </w:rPr>
        <w:t xml:space="preserve">, and the inverse temperature </w:t>
      </w:r>
      <w:r>
        <w:rPr/>
      </w:r>
      <m:oMath xmlns:m="http://schemas.openxmlformats.org/officeDocument/2006/math">
        <m:r>
          <m:t xml:space="preserve">(</m:t>
        </m:r>
        <m:r>
          <m:t xml:space="preserve">β</m:t>
        </m:r>
      </m:oMath>
      <w:r>
        <w:rPr>
          <w:rFonts w:eastAsia="Calibri" w:cs="Arial" w:ascii="Arial" w:hAnsi="Arial"/>
        </w:rPr>
        <w:t>).</w:t>
      </w:r>
    </w:p>
    <w:p>
      <w:pPr>
        <w:pStyle w:val="Normal"/>
        <w:rPr>
          <w:rFonts w:ascii="Arial" w:hAnsi="Arial" w:eastAsia="Calibri" w:cs="Arial"/>
        </w:rPr>
      </w:pPr>
      <w:r>
        <w:rPr>
          <w:rFonts w:eastAsia="Calibri" w:cs="Arial" w:ascii="Arial" w:hAnsi="Arial"/>
        </w:rPr>
        <w:t>1.3.2.3 Adaptive Learning Rate Model</w:t>
      </w:r>
    </w:p>
    <w:p>
      <w:pPr>
        <w:pStyle w:val="Normal"/>
        <w:rPr>
          <w:rFonts w:ascii="Arial" w:hAnsi="Arial" w:eastAsia="Calibri" w:cs="Arial"/>
        </w:rPr>
      </w:pPr>
      <w:r>
        <w:rPr>
          <w:rFonts w:eastAsia="Calibri" w:cs="Arial" w:ascii="Arial" w:hAnsi="Arial"/>
        </w:rPr>
        <w:t xml:space="preserve">Finally, drawing on dynamic learning frameworks, we tested an Adaptive RL Model where the learning rate itself fluctuates in response to the social environment. The expected value is updated using a trial-specific learning rate </w:t>
      </w:r>
      <w:r>
        <w:rPr/>
      </w:r>
      <m:oMath xmlns:m="http://schemas.openxmlformats.org/officeDocument/2006/math">
        <m:r>
          <m:t xml:space="preserve">(</m:t>
        </m:r>
        <m:sSub>
          <m:e>
            <m:r>
              <m:t xml:space="preserve">α</m:t>
            </m:r>
          </m:e>
          <m:sub>
            <m:r>
              <m:t xml:space="preserve">t</m:t>
            </m:r>
          </m:sub>
        </m:sSub>
      </m:oMath>
      <w:r>
        <w:rPr>
          <w:rFonts w:eastAsia="Calibri" w:cs="Arial" w:ascii="Arial" w:hAnsi="Arial"/>
        </w:rPr>
        <w:t>):</w:t>
      </w:r>
    </w:p>
    <w:p>
      <w:pPr>
        <w:pStyle w:val="Normal"/>
        <w:jc w:val="center"/>
        <w:rPr>
          <w:rFonts w:ascii="Arial" w:hAnsi="Arial" w:eastAsia="Calibri" w:cs="Arial"/>
        </w:rPr>
      </w:pPr>
      <w:r>
        <w:rPr/>
      </w:r>
      <m:oMathPara xmlns:m="http://schemas.openxmlformats.org/officeDocument/2006/math">
        <m:oMathParaPr>
          <m:jc m:val="center"/>
        </m:oMathParaPr>
        <m:oMath>
          <m:sSub>
            <m:e>
              <m:r>
                <m:t xml:space="preserve">V</m:t>
              </m:r>
            </m:e>
            <m:sub>
              <m:r>
                <m:t xml:space="preserve">t</m:t>
              </m:r>
              <m:r>
                <m:rPr>
                  <m:lit/>
                  <m:nor/>
                </m:rPr>
                <m:t xml:space="preserve">+</m:t>
              </m:r>
              <m:r>
                <m:t xml:space="preserve">1</m:t>
              </m:r>
            </m:sub>
          </m:sSub>
          <m:r>
            <m:rPr>
              <m:lit/>
              <m:nor/>
            </m:rPr>
            <m:t xml:space="preserve">=</m:t>
          </m:r>
          <m:sSub>
            <m:e>
              <m:r>
                <m:t xml:space="preserve">V</m:t>
              </m:r>
            </m:e>
            <m:sub>
              <m:r>
                <m:t xml:space="preserve">t</m:t>
              </m:r>
            </m:sub>
          </m:sSub>
          <m:r>
            <m:rPr>
              <m:lit/>
              <m:nor/>
            </m:rPr>
            <m:t xml:space="preserve">+</m:t>
          </m:r>
          <m:sSub>
            <m:e>
              <m:r>
                <m:t xml:space="preserve">α</m:t>
              </m:r>
            </m:e>
            <m:sub>
              <m:r>
                <m:t xml:space="preserve">t</m:t>
              </m:r>
            </m:sub>
          </m:sSub>
          <m:r>
            <m:t xml:space="preserve">⋅</m:t>
          </m:r>
          <m:sSub>
            <m:e>
              <m:r>
                <m:t xml:space="preserve">δ</m:t>
              </m:r>
            </m:e>
            <m:sub>
              <m:r>
                <m:t xml:space="preserve">t</m:t>
              </m:r>
            </m:sub>
          </m:sSub>
        </m:oMath>
      </m:oMathPara>
    </w:p>
    <w:p>
      <w:pPr>
        <w:pStyle w:val="Normal"/>
        <w:rPr>
          <w:rFonts w:ascii="Arial" w:hAnsi="Arial" w:eastAsia="Calibri" w:cs="Arial"/>
        </w:rPr>
      </w:pPr>
      <w:r>
        <w:rPr>
          <w:rFonts w:eastAsia="Calibri" w:cs="Arial" w:ascii="Arial" w:hAnsi="Arial"/>
        </w:rPr>
        <w:t>Crucially, the learning rate dynamically shifts by a fixed step-size parameter (</w:t>
      </w:r>
      <w:r>
        <w:rPr/>
      </w:r>
      <m:oMath xmlns:m="http://schemas.openxmlformats.org/officeDocument/2006/math">
        <m:r>
          <m:t xml:space="preserve">ϵ</m:t>
        </m:r>
      </m:oMath>
      <w:r>
        <w:rPr>
          <w:rFonts w:eastAsia="Calibri" w:cs="Arial" w:ascii="Arial" w:hAnsi="Arial"/>
        </w:rPr>
        <w:t>) depending on the absolute valence of the trustee's action. If the trustee shares the investment (</w:t>
      </w:r>
      <w:r>
        <w:rPr/>
      </w:r>
      <m:oMath xmlns:m="http://schemas.openxmlformats.org/officeDocument/2006/math">
        <m:sSub>
          <m:e>
            <m:r>
              <m:t xml:space="preserve">R</m:t>
            </m:r>
          </m:e>
          <m:sub>
            <m:r>
              <m:t xml:space="preserve">t</m:t>
            </m:r>
          </m:sub>
        </m:sSub>
        <m:r>
          <m:rPr>
            <m:lit/>
            <m:nor/>
          </m:rPr>
          <m:t xml:space="preserve"> </m:t>
        </m:r>
        <m:r>
          <m:rPr>
            <m:lit/>
            <m:nor/>
          </m:rPr>
          <m:t xml:space="preserve">&gt;</m:t>
        </m:r>
        <m:r>
          <m:rPr>
            <m:lit/>
            <m:nor/>
          </m:rPr>
          <m:t xml:space="preserve"> </m:t>
        </m:r>
        <m:sSub>
          <m:e>
            <m:r>
              <m:t xml:space="preserve">V</m:t>
            </m:r>
          </m:e>
          <m:sub>
            <m:r>
              <m:t xml:space="preserve">keep</m:t>
            </m:r>
          </m:sub>
        </m:sSub>
      </m:oMath>
      <w:r>
        <w:rPr>
          <w:rFonts w:eastAsia="Calibri" w:cs="Arial" w:ascii="Arial" w:hAnsi="Arial"/>
        </w:rPr>
        <w:t>), the learning rate increases; if the trustee keeps the investment, the learning rate decreases:</w:t>
      </w:r>
    </w:p>
    <w:p>
      <w:pPr>
        <w:pStyle w:val="Normal"/>
        <w:jc w:val="center"/>
        <w:rPr>
          <w:rFonts w:ascii="Arial" w:hAnsi="Arial" w:eastAsia="Calibri" w:cs="Arial"/>
        </w:rPr>
      </w:pPr>
      <w:r>
        <w:rPr/>
      </w:r>
      <m:oMathPara xmlns:m="http://schemas.openxmlformats.org/officeDocument/2006/math">
        <m:oMathParaPr>
          <m:jc m:val="center"/>
        </m:oMathParaPr>
        <m:oMath>
          <m:sSub>
            <m:e>
              <m:r>
                <m:t xml:space="preserve">α</m:t>
              </m:r>
            </m:e>
            <m:sub>
              <m:r>
                <m:t xml:space="preserve">t</m:t>
              </m:r>
              <m:r>
                <m:rPr>
                  <m:lit/>
                  <m:nor/>
                </m:rPr>
                <m:t xml:space="preserve">+</m:t>
              </m:r>
              <m:r>
                <m:t xml:space="preserve">1</m:t>
              </m:r>
            </m:sub>
          </m:sSub>
          <m:r>
            <m:rPr>
              <m:lit/>
              <m:nor/>
            </m:rPr>
            <m:t xml:space="preserve">=</m:t>
          </m:r>
          <m:r>
            <m:t xml:space="preserve">max</m:t>
          </m:r>
          <m:d>
            <m:dPr>
              <m:begChr m:val="("/>
              <m:endChr m:val=")"/>
            </m:dPr>
            <m:e>
              <m:r>
                <m:t xml:space="preserve">min</m:t>
              </m:r>
              <m:d>
                <m:dPr>
                  <m:begChr m:val="("/>
                  <m:endChr m:val=")"/>
                </m:dPr>
                <m:e>
                  <m:sSub>
                    <m:e>
                      <m:r>
                        <m:t xml:space="preserve">α</m:t>
                      </m:r>
                    </m:e>
                    <m:sub>
                      <m:r>
                        <m:t xml:space="preserve">t</m:t>
                      </m:r>
                    </m:sub>
                  </m:sSub>
                  <m:r>
                    <m:rPr>
                      <m:lit/>
                      <m:nor/>
                    </m:rPr>
                    <m:t xml:space="preserve">+</m:t>
                  </m:r>
                  <m:r>
                    <m:t xml:space="preserve">ϵ</m:t>
                  </m:r>
                  <m:r>
                    <m:rPr>
                      <m:lit/>
                      <m:nor/>
                    </m:rPr>
                    <m:t xml:space="preserve"> </m:t>
                  </m:r>
                  <m:r>
                    <m:t xml:space="preserve">,</m:t>
                  </m:r>
                  <m:r>
                    <m:rPr>
                      <m:lit/>
                      <m:nor/>
                    </m:rPr>
                    <m:t xml:space="preserve"> </m:t>
                  </m:r>
                  <m:r>
                    <m:t xml:space="preserve">1.0</m:t>
                  </m:r>
                </m:e>
              </m:d>
              <m:r>
                <m:t xml:space="preserve">,</m:t>
              </m:r>
              <m:r>
                <m:rPr>
                  <m:lit/>
                  <m:nor/>
                </m:rPr>
                <m:t xml:space="preserve"> </m:t>
              </m:r>
              <m:r>
                <m:t xml:space="preserve">0.001</m:t>
              </m:r>
            </m:e>
          </m:d>
          <m:r>
            <m:rPr>
              <m:lit/>
              <m:nor/>
            </m:rPr>
            <m:t xml:space="preserve"> </m:t>
          </m:r>
          <m:r>
            <m:rPr>
              <m:lit/>
              <m:nor/>
            </m:rPr>
            <m:t xml:space="preserve"> </m:t>
          </m:r>
          <m:r>
            <m:t xml:space="preserve">if</m:t>
          </m:r>
          <m:r>
            <m:rPr>
              <m:lit/>
              <m:nor/>
            </m:rPr>
            <m:t xml:space="preserve"> </m:t>
          </m:r>
          <m:sSub>
            <m:e>
              <m:r>
                <m:t xml:space="preserve">R</m:t>
              </m:r>
            </m:e>
            <m:sub>
              <m:r>
                <m:t xml:space="preserve">t</m:t>
              </m:r>
            </m:sub>
          </m:sSub>
          <m:r>
            <m:rPr>
              <m:lit/>
              <m:nor/>
            </m:rPr>
            <m:t xml:space="preserve">&gt;</m:t>
          </m:r>
          <m:sSub>
            <m:e>
              <m:r>
                <m:t xml:space="preserve">V</m:t>
              </m:r>
            </m:e>
            <m:sub>
              <m:r>
                <m:t xml:space="preserve">keep</m:t>
              </m:r>
            </m:sub>
          </m:sSub>
        </m:oMath>
      </m:oMathPara>
    </w:p>
    <w:p>
      <w:pPr>
        <w:pStyle w:val="Normal"/>
        <w:jc w:val="center"/>
        <w:rPr>
          <w:rFonts w:ascii="Arial" w:hAnsi="Arial" w:eastAsia="Calibri" w:cs="Arial"/>
        </w:rPr>
      </w:pPr>
      <w:r>
        <w:rPr/>
      </w:r>
      <m:oMathPara xmlns:m="http://schemas.openxmlformats.org/officeDocument/2006/math">
        <m:oMathParaPr>
          <m:jc m:val="center"/>
        </m:oMathParaPr>
        <m:oMath>
          <m:sSub>
            <m:e>
              <m:r>
                <m:t xml:space="preserve">α</m:t>
              </m:r>
            </m:e>
            <m:sub>
              <m:r>
                <m:t xml:space="preserve">t</m:t>
              </m:r>
              <m:r>
                <m:rPr>
                  <m:lit/>
                  <m:nor/>
                </m:rPr>
                <m:t xml:space="preserve">+</m:t>
              </m:r>
              <m:r>
                <m:t xml:space="preserve">1</m:t>
              </m:r>
            </m:sub>
          </m:sSub>
          <m:r>
            <m:rPr>
              <m:lit/>
              <m:nor/>
            </m:rPr>
            <m:t xml:space="preserve">=</m:t>
          </m:r>
          <m:r>
            <m:t xml:space="preserve">max</m:t>
          </m:r>
          <m:d>
            <m:dPr>
              <m:begChr m:val="("/>
              <m:endChr m:val=")"/>
            </m:dPr>
            <m:e>
              <m:r>
                <m:t xml:space="preserve">min</m:t>
              </m:r>
              <m:d>
                <m:dPr>
                  <m:begChr m:val="("/>
                  <m:endChr m:val=")"/>
                </m:dPr>
                <m:e>
                  <m:sSub>
                    <m:e>
                      <m:r>
                        <m:t xml:space="preserve">α</m:t>
                      </m:r>
                    </m:e>
                    <m:sub>
                      <m:r>
                        <m:t xml:space="preserve">t</m:t>
                      </m:r>
                    </m:sub>
                  </m:sSub>
                  <m:r>
                    <m:rPr>
                      <m:lit/>
                      <m:nor/>
                    </m:rPr>
                    <m:t xml:space="preserve">-</m:t>
                  </m:r>
                  <m:r>
                    <m:t xml:space="preserve">ϵ</m:t>
                  </m:r>
                  <m:r>
                    <m:rPr>
                      <m:lit/>
                      <m:nor/>
                    </m:rPr>
                    <m:t xml:space="preserve"> </m:t>
                  </m:r>
                  <m:r>
                    <m:t xml:space="preserve">,</m:t>
                  </m:r>
                  <m:r>
                    <m:rPr>
                      <m:lit/>
                      <m:nor/>
                    </m:rPr>
                    <m:t xml:space="preserve"> </m:t>
                  </m:r>
                  <m:r>
                    <m:t xml:space="preserve">1.0</m:t>
                  </m:r>
                </m:e>
              </m:d>
              <m:r>
                <m:t xml:space="preserve">,</m:t>
              </m:r>
              <m:r>
                <m:rPr>
                  <m:lit/>
                  <m:nor/>
                </m:rPr>
                <m:t xml:space="preserve"> </m:t>
              </m:r>
              <m:r>
                <m:t xml:space="preserve">0.001</m:t>
              </m:r>
            </m:e>
          </m:d>
          <m:r>
            <m:rPr>
              <m:lit/>
              <m:nor/>
            </m:rPr>
            <m:t xml:space="preserve"> </m:t>
          </m:r>
          <m:r>
            <m:rPr>
              <m:lit/>
              <m:nor/>
            </m:rPr>
            <m:t xml:space="preserve"> </m:t>
          </m:r>
          <m:r>
            <m:t xml:space="preserve">if</m:t>
          </m:r>
          <m:r>
            <m:rPr>
              <m:lit/>
              <m:nor/>
            </m:rPr>
            <m:t xml:space="preserve"> </m:t>
          </m:r>
          <m:sSub>
            <m:e>
              <m:r>
                <m:t xml:space="preserve">R</m:t>
              </m:r>
            </m:e>
            <m:sub>
              <m:r>
                <m:t xml:space="preserve">t</m:t>
              </m:r>
            </m:sub>
          </m:sSub>
          <m:sSub>
            <m:e>
              <m:r>
                <m:rPr>
                  <m:lit/>
                  <m:nor/>
                </m:rPr>
                <m:t xml:space="preserve"> </m:t>
              </m:r>
              <m:r>
                <m:t xml:space="preserve">≤</m:t>
              </m:r>
              <m:r>
                <m:rPr>
                  <m:lit/>
                  <m:nor/>
                </m:rPr>
                <m:t xml:space="preserve"> </m:t>
              </m:r>
              <m:r>
                <m:t xml:space="preserve">V</m:t>
              </m:r>
            </m:e>
            <m:sub>
              <m:r>
                <m:t xml:space="preserve">keep</m:t>
              </m:r>
            </m:sub>
          </m:sSub>
        </m:oMath>
      </m:oMathPara>
    </w:p>
    <w:p>
      <w:pPr>
        <w:pStyle w:val="Normal"/>
        <w:rPr>
          <w:rFonts w:ascii="Arial" w:hAnsi="Arial" w:eastAsia="Calibri" w:cs="Arial"/>
        </w:rPr>
      </w:pPr>
      <w:r>
        <w:rPr>
          <w:rFonts w:eastAsia="Calibri" w:cs="Arial" w:ascii="Arial" w:hAnsi="Arial"/>
        </w:rPr>
      </w:r>
    </w:p>
    <w:p>
      <w:pPr>
        <w:pStyle w:val="Normal"/>
        <w:rPr>
          <w:rFonts w:ascii="Arial" w:hAnsi="Arial" w:eastAsia="Calibri" w:cs="Arial"/>
        </w:rPr>
      </w:pPr>
      <w:r>
        <w:rPr>
          <w:rFonts w:eastAsia="Calibri" w:cs="Arial" w:ascii="Arial" w:hAnsi="Arial"/>
        </w:rPr>
        <w:t>This model comprises three free parameters: an initial baseline learning rate (</w:t>
      </w:r>
      <w:r>
        <w:rPr/>
      </w:r>
      <m:oMath xmlns:m="http://schemas.openxmlformats.org/officeDocument/2006/math">
        <m:sSub>
          <m:e>
            <m:r>
              <m:t xml:space="preserve">α</m:t>
            </m:r>
          </m:e>
          <m:sub>
            <m:r>
              <m:t xml:space="preserve">0</m:t>
            </m:r>
          </m:sub>
        </m:sSub>
      </m:oMath>
      <w:r>
        <w:rPr>
          <w:rFonts w:eastAsia="Calibri" w:cs="Arial" w:ascii="Arial" w:hAnsi="Arial"/>
        </w:rPr>
        <w:t xml:space="preserve">), the update step-size </w:t>
      </w:r>
      <w:r>
        <w:rPr/>
      </w:r>
      <m:oMath xmlns:m="http://schemas.openxmlformats.org/officeDocument/2006/math">
        <m:r>
          <m:t xml:space="preserve">(</m:t>
        </m:r>
        <m:r>
          <m:t xml:space="preserve">ϵ</m:t>
        </m:r>
        <m:r>
          <m:t xml:space="preserve">∈</m:t>
        </m:r>
        <m:r>
          <m:rPr>
            <m:lit/>
            <m:nor/>
          </m:rPr>
          <m:t xml:space="preserve"> </m:t>
        </m:r>
        <m:r>
          <m:t xml:space="preserve">[</m:t>
        </m:r>
        <m:r>
          <m:t xml:space="preserve">0</m:t>
        </m:r>
        <m:r>
          <m:t xml:space="preserve">,</m:t>
        </m:r>
        <m:r>
          <m:rPr>
            <m:lit/>
            <m:nor/>
          </m:rPr>
          <m:t xml:space="preserve"> </m:t>
        </m:r>
        <m:r>
          <m:t xml:space="preserve">0.5</m:t>
        </m:r>
        <m:r>
          <m:t xml:space="preserve">]</m:t>
        </m:r>
        <m:r>
          <m:t xml:space="preserve">)</m:t>
        </m:r>
      </m:oMath>
      <w:r>
        <w:rPr>
          <w:rFonts w:eastAsia="Calibri" w:cs="Arial" w:ascii="Arial" w:hAnsi="Arial"/>
        </w:rPr>
        <w:t xml:space="preserve">, and </w:t>
      </w:r>
      <w:r>
        <w:rPr/>
      </w:r>
      <m:oMath xmlns:m="http://schemas.openxmlformats.org/officeDocument/2006/math">
        <m:r>
          <m:t xml:space="preserve">β</m:t>
        </m:r>
      </m:oMath>
      <w:r>
        <w:rPr>
          <w:rFonts w:eastAsia="Calibri" w:cs="Arial" w:ascii="Arial" w:hAnsi="Arial"/>
        </w:rPr>
        <w:t>.</w:t>
      </w:r>
    </w:p>
    <w:p>
      <w:pPr>
        <w:pStyle w:val="Duz3"/>
        <w:rPr>
          <w:rFonts w:ascii="Arial" w:hAnsi="Arial" w:cs="Arial"/>
        </w:rPr>
      </w:pPr>
      <w:r>
        <w:rPr>
          <w:rFonts w:cs="Arial" w:ascii="Arial" w:hAnsi="Arial"/>
        </w:rPr>
        <w:t xml:space="preserve">1.3.3 Parameter Estimation and Model Selection </w:t>
      </w:r>
    </w:p>
    <w:p>
      <w:pPr>
        <w:pStyle w:val="Normal"/>
        <w:rPr>
          <w:rFonts w:ascii="Arial" w:hAnsi="Arial" w:cs="Arial"/>
        </w:rPr>
      </w:pPr>
      <w:r>
        <w:rPr>
          <w:rFonts w:cs="Arial" w:ascii="Arial" w:hAnsi="Arial"/>
        </w:rPr>
        <w:t>To ensure robust recovery of the global optimum and prevent convergence on local minima, subject-level parameters for all models were estimated utilizing Maximum A Posteriori (MAP) estimation. Optimization was performed using the L-BFGS-B algorithm embedded within a multi-start procedure with varied initial conditions. Models were fitted by minimizing the negative log-posterior of the observed choices. To constrain estimates within psychologically plausible ranges and penalize extreme values, we applied weakly informative priors. For learning rate parameters (</w:t>
      </w:r>
      <w:r>
        <w:rPr/>
      </w:r>
      <m:oMath xmlns:m="http://schemas.openxmlformats.org/officeDocument/2006/math">
        <m:r>
          <m:t xml:space="preserve">α</m:t>
        </m:r>
        <m:r>
          <m:t xml:space="preserve">,</m:t>
        </m:r>
        <m:r>
          <m:rPr>
            <m:lit/>
            <m:nor/>
          </m:rPr>
          <m:t xml:space="preserve"> </m:t>
        </m:r>
        <m:sSup>
          <m:e>
            <m:r>
              <m:t xml:space="preserve">α</m:t>
            </m:r>
          </m:e>
          <m:sup>
            <m:r>
              <m:rPr>
                <m:lit/>
                <m:nor/>
              </m:rPr>
              <m:t xml:space="preserve">+</m:t>
            </m:r>
          </m:sup>
        </m:sSup>
        <m:r>
          <m:t xml:space="preserve">,</m:t>
        </m:r>
        <m:r>
          <m:rPr>
            <m:lit/>
            <m:nor/>
          </m:rPr>
          <m:t xml:space="preserve"> </m:t>
        </m:r>
        <m:sSup>
          <m:e>
            <m:r>
              <m:t xml:space="preserve">α</m:t>
            </m:r>
          </m:e>
          <m:sup>
            <m:r>
              <m:rPr>
                <m:lit/>
                <m:nor/>
              </m:rPr>
              <m:t xml:space="preserve">-</m:t>
            </m:r>
          </m:sup>
        </m:sSup>
        <m:r>
          <m:t xml:space="preserve">,</m:t>
        </m:r>
        <m:r>
          <m:rPr>
            <m:lit/>
            <m:nor/>
          </m:rPr>
          <m:t xml:space="preserve"> </m:t>
        </m:r>
        <m:sSub>
          <m:e>
            <m:r>
              <m:t xml:space="preserve">α</m:t>
            </m:r>
          </m:e>
          <m:sub>
            <m:r>
              <m:t xml:space="preserve">0</m:t>
            </m:r>
          </m:sub>
        </m:sSub>
      </m:oMath>
      <w:r>
        <w:rPr>
          <w:rFonts w:cs="Arial" w:ascii="Arial" w:hAnsi="Arial"/>
        </w:rPr>
        <w:t>), we applied a Beta prior (</w:t>
      </w:r>
      <w:r>
        <w:rPr/>
      </w:r>
      <m:oMath xmlns:m="http://schemas.openxmlformats.org/officeDocument/2006/math">
        <m:r>
          <m:t xml:space="preserve">∼</m:t>
        </m:r>
        <m:r>
          <m:rPr>
            <m:lit/>
            <m:nor/>
          </m:rPr>
          <m:t xml:space="preserve"> </m:t>
        </m:r>
        <m:r>
          <m:t xml:space="preserve">Beta</m:t>
        </m:r>
        <m:r>
          <m:t xml:space="preserve">(</m:t>
        </m:r>
        <m:r>
          <m:t xml:space="preserve">1.1</m:t>
        </m:r>
        <m:r>
          <m:t xml:space="preserve">,</m:t>
        </m:r>
        <m:r>
          <m:rPr>
            <m:lit/>
            <m:nor/>
          </m:rPr>
          <m:t xml:space="preserve"> </m:t>
        </m:r>
        <m:r>
          <m:t xml:space="preserve">1.1</m:t>
        </m:r>
        <m:r>
          <m:t xml:space="preserve">)</m:t>
        </m:r>
      </m:oMath>
      <w:r>
        <w:rPr>
          <w:rFonts w:cs="Arial" w:ascii="Arial" w:hAnsi="Arial"/>
        </w:rPr>
        <w:t xml:space="preserve">), while a Gamma prior was applied for the inverse temperature </w:t>
      </w:r>
      <w:r>
        <w:rPr/>
      </w:r>
      <m:oMath xmlns:m="http://schemas.openxmlformats.org/officeDocument/2006/math">
        <m:r>
          <m:t xml:space="preserve">(</m:t>
        </m:r>
        <m:r>
          <m:t xml:space="preserve">β</m:t>
        </m:r>
        <m:r>
          <m:t xml:space="preserve">∼</m:t>
        </m:r>
        <m:r>
          <m:rPr>
            <m:lit/>
            <m:nor/>
          </m:rPr>
          <m:t xml:space="preserve"> </m:t>
        </m:r>
        <m:r>
          <m:t xml:space="preserve">Gamma</m:t>
        </m:r>
        <m:r>
          <m:t xml:space="preserve">(</m:t>
        </m:r>
        <m:r>
          <m:t xml:space="preserve">k</m:t>
        </m:r>
        <m:r>
          <m:rPr>
            <m:lit/>
            <m:nor/>
          </m:rPr>
          <m:t xml:space="preserve">=</m:t>
        </m:r>
        <m:r>
          <m:t xml:space="preserve">2.5</m:t>
        </m:r>
        <m:r>
          <m:t xml:space="preserve">,</m:t>
        </m:r>
        <m:r>
          <m:rPr>
            <m:lit/>
            <m:nor/>
          </m:rPr>
          <m:t xml:space="preserve"> </m:t>
        </m:r>
        <m:r>
          <m:t xml:space="preserve">θ</m:t>
        </m:r>
        <m:r>
          <m:rPr>
            <m:lit/>
            <m:nor/>
          </m:rPr>
          <m:t xml:space="preserve">=</m:t>
        </m:r>
        <m:r>
          <m:t xml:space="preserve">2.5</m:t>
        </m:r>
        <m:r>
          <m:t xml:space="preserve">)</m:t>
        </m:r>
      </m:oMath>
      <w:r>
        <w:rPr>
          <w:rFonts w:cs="Arial" w:ascii="Arial" w:hAnsi="Arial"/>
        </w:rPr>
        <w:t xml:space="preserve">). The </w:t>
      </w:r>
      <w:r>
        <w:rPr/>
      </w:r>
      <m:oMath xmlns:m="http://schemas.openxmlformats.org/officeDocument/2006/math">
        <m:r>
          <m:t xml:space="preserve">ϵ</m:t>
        </m:r>
      </m:oMath>
      <w:r>
        <w:rPr>
          <w:rFonts w:cs="Arial" w:ascii="Arial" w:hAnsi="Arial"/>
        </w:rPr>
        <w:t xml:space="preserve"> parameter was estimated using a uniform prior bounded between </w:t>
      </w:r>
      <w:r>
        <w:rPr/>
      </w:r>
      <m:oMath xmlns:m="http://schemas.openxmlformats.org/officeDocument/2006/math">
        <m:r>
          <m:t xml:space="preserve">0.0</m:t>
        </m:r>
      </m:oMath>
      <w:r>
        <w:rPr>
          <w:rFonts w:cs="Arial" w:ascii="Arial" w:hAnsi="Arial"/>
        </w:rPr>
        <w:t xml:space="preserve"> and </w:t>
      </w:r>
      <w:r>
        <w:rPr/>
      </w:r>
      <m:oMath xmlns:m="http://schemas.openxmlformats.org/officeDocument/2006/math">
        <m:r>
          <m:t xml:space="preserve">0.5</m:t>
        </m:r>
      </m:oMath>
      <w:r>
        <w:rPr>
          <w:rFonts w:cs="Arial" w:ascii="Arial" w:hAnsi="Arial"/>
        </w:rPr>
        <w:t xml:space="preserve">. </w:t>
      </w:r>
    </w:p>
    <w:p>
      <w:pPr>
        <w:pStyle w:val="Normal"/>
        <w:rPr>
          <w:rFonts w:ascii="Arial" w:hAnsi="Arial" w:cs="Arial"/>
        </w:rPr>
      </w:pPr>
      <w:r>
        <w:rPr>
          <w:rFonts w:cs="Arial" w:ascii="Arial" w:hAnsi="Arial"/>
        </w:rPr>
        <w:t>To determine the most parsimonious fit while strictly penalizing for differences in model complexity (i.e., 0, 2, or 3 free parameters), all architectures were evaluated using the Bayesian Information Criterion (BIC). Furthermore, to quantify the proportion of behavioral variance explained by the learning models beyond pure chance, we calculated McFadden's pseudo-R</w:t>
      </w:r>
      <w:r>
        <w:rPr>
          <w:rFonts w:cs="Arial" w:ascii="Arial" w:hAnsi="Arial"/>
          <w:vertAlign w:val="superscript"/>
        </w:rPr>
        <w:t>2</w:t>
      </w:r>
      <w:r>
        <w:rPr>
          <w:rFonts w:cs="Arial" w:ascii="Arial" w:hAnsi="Arial"/>
        </w:rPr>
        <w:t xml:space="preserve"> relative to the Null model. </w:t>
      </w:r>
      <w:r>
        <w:rPr>
          <w:rFonts w:eastAsia="Calibri" w:cs="Arial" w:ascii="Arial" w:hAnsi="Arial"/>
        </w:rPr>
        <w:t>The Pseudo-R</w:t>
      </w:r>
      <w:r>
        <w:rPr>
          <w:rFonts w:eastAsia="Calibri" w:cs="Arial" w:ascii="Arial" w:hAnsi="Arial"/>
          <w:vertAlign w:val="superscript"/>
        </w:rPr>
        <w:t>2</w:t>
      </w:r>
      <w:r>
        <w:rPr>
          <w:rFonts w:eastAsia="Calibri" w:cs="Arial" w:ascii="Arial" w:hAnsi="Arial"/>
        </w:rPr>
        <w:t xml:space="preserve"> metric allowed us to verify the learning model provided a fundamentally superior explanation of the participant’s behavior compared to a non-learning, stochastic baseline. </w:t>
      </w:r>
      <w:r>
        <w:rPr>
          <w:rFonts w:cs="Arial" w:ascii="Arial" w:hAnsi="Arial"/>
        </w:rPr>
        <w:t>Crucially, model selection was conducted at the group level to establish a standardized mathematical framework for all subsequent behavioral and neuroimaging analyses. We calculated the cumulative sum of BIC scores across all participants; the architecture yielding the lowest total group-level BIC was selected as the superior computational model.</w:t>
      </w:r>
    </w:p>
    <w:p>
      <w:pPr>
        <w:pStyle w:val="Duz2"/>
        <w:rPr>
          <w:rFonts w:cs="Arial"/>
        </w:rPr>
      </w:pPr>
      <w:r>
        <w:rPr>
          <w:rFonts w:cs="Arial"/>
        </w:rPr>
        <w:t>1.4 Control Analyses</w:t>
      </w:r>
    </w:p>
    <w:p>
      <w:pPr>
        <w:pStyle w:val="Duz3"/>
        <w:rPr>
          <w:rFonts w:ascii="Arial" w:hAnsi="Arial" w:cs="Arial"/>
        </w:rPr>
      </w:pPr>
      <w:r>
        <w:rPr>
          <w:rFonts w:cs="Arial" w:ascii="Arial" w:hAnsi="Arial"/>
        </w:rPr>
        <w:t>1.4.1 Parameter Recovery</w:t>
      </w:r>
    </w:p>
    <w:p>
      <w:pPr>
        <w:pStyle w:val="Normal"/>
        <w:rPr>
          <w:rFonts w:ascii="Arial" w:hAnsi="Arial" w:cs="Arial"/>
        </w:rPr>
      </w:pPr>
      <w:r>
        <w:rPr>
          <w:rFonts w:cs="Arial" w:ascii="Arial" w:hAnsi="Arial"/>
        </w:rPr>
        <w:t>To validate the reliability of our task design and the robustness of our MAP estimation procedure, we conducted a parameter recovery analysis. The objective was to confirm that our optimization pipeline could accurately uncover the true underlying parameters driving behavior within the specific context of our experimental paradigm.</w:t>
      </w:r>
    </w:p>
    <w:p>
      <w:pPr>
        <w:pStyle w:val="Normal"/>
        <w:rPr>
          <w:rFonts w:ascii="Arial" w:hAnsi="Arial" w:cs="Arial"/>
        </w:rPr>
      </w:pPr>
      <w:r>
        <w:rPr>
          <w:rFonts w:cs="Arial" w:ascii="Arial" w:hAnsi="Arial"/>
        </w:rPr>
        <w:t>We simulated synthetic agents performing the exact 60-trial sequence used in the human experiment, adhering to the same shifting probabilistic reward schedule (80% reward probability in Block 1, 50% in Block 2, and 80% in Block 3). We generated ground-truth parameter combinations using five levels of learning rate within [0,1] bound (</w:t>
      </w:r>
      <w:r>
        <w:rPr/>
      </w:r>
      <m:oMath xmlns:m="http://schemas.openxmlformats.org/officeDocument/2006/math">
        <m:r>
          <m:t xml:space="preserve">α</m:t>
        </m:r>
      </m:oMath>
      <w:r>
        <w:rPr>
          <w:rFonts w:cs="Arial" w:ascii="Arial" w:hAnsi="Arial"/>
        </w:rPr>
        <w:t xml:space="preserve"> </w:t>
      </w:r>
      <w:r>
        <w:rPr/>
      </w:r>
      <m:oMath xmlns:m="http://schemas.openxmlformats.org/officeDocument/2006/math">
        <m:r>
          <m:t xml:space="preserve">∈</m:t>
        </m:r>
      </m:oMath>
      <w:r>
        <w:rPr>
          <w:rFonts w:cs="Arial" w:ascii="Arial" w:hAnsi="Arial"/>
        </w:rPr>
        <w:t xml:space="preserve"> </w:t>
      </w:r>
      <w:r>
        <w:rPr/>
      </w:r>
      <m:oMath xmlns:m="http://schemas.openxmlformats.org/officeDocument/2006/math">
        <m:r>
          <m:t xml:space="preserve">{</m:t>
        </m:r>
        <m:r>
          <m:t xml:space="preserve">0.1</m:t>
        </m:r>
        <m:r>
          <m:t xml:space="preserve">,</m:t>
        </m:r>
        <m:r>
          <m:rPr>
            <m:lit/>
            <m:nor/>
          </m:rPr>
          <m:t xml:space="preserve"> </m:t>
        </m:r>
        <m:r>
          <m:t xml:space="preserve">0.3</m:t>
        </m:r>
        <m:r>
          <m:t xml:space="preserve">,</m:t>
        </m:r>
        <m:r>
          <m:rPr>
            <m:lit/>
            <m:nor/>
          </m:rPr>
          <m:t xml:space="preserve"> </m:t>
        </m:r>
        <m:r>
          <m:t xml:space="preserve">0.5</m:t>
        </m:r>
        <m:r>
          <m:t xml:space="preserve">,</m:t>
        </m:r>
        <m:r>
          <m:rPr>
            <m:lit/>
            <m:nor/>
          </m:rPr>
          <m:t xml:space="preserve"> </m:t>
        </m:r>
        <m:r>
          <m:t xml:space="preserve">0.7</m:t>
        </m:r>
        <m:r>
          <m:t xml:space="preserve">,</m:t>
        </m:r>
        <m:r>
          <m:rPr>
            <m:lit/>
            <m:nor/>
          </m:rPr>
          <m:t xml:space="preserve"> </m:t>
        </m:r>
        <m:r>
          <m:t xml:space="preserve">0.9</m:t>
        </m:r>
        <m:r>
          <m:t xml:space="preserve">}</m:t>
        </m:r>
      </m:oMath>
      <w:r>
        <w:rPr>
          <w:rFonts w:cs="Arial" w:ascii="Arial" w:hAnsi="Arial"/>
        </w:rPr>
        <w:t xml:space="preserve">) and three levels of inverse temperature </w:t>
      </w:r>
      <w:r>
        <w:rPr/>
      </w:r>
      <m:oMath xmlns:m="http://schemas.openxmlformats.org/officeDocument/2006/math">
        <m:r>
          <m:t xml:space="preserve">(</m:t>
        </m:r>
        <m:r>
          <m:t xml:space="preserve">β</m:t>
        </m:r>
        <m:r>
          <m:t xml:space="preserve">∈</m:t>
        </m:r>
      </m:oMath>
      <w:r>
        <w:rPr>
          <w:rFonts w:cs="Arial" w:ascii="Arial" w:hAnsi="Arial"/>
        </w:rPr>
        <w:t xml:space="preserve"> </w:t>
      </w:r>
      <w:r>
        <w:rPr/>
      </w:r>
      <m:oMath xmlns:m="http://schemas.openxmlformats.org/officeDocument/2006/math">
        <m:r>
          <m:t xml:space="preserve">{</m:t>
        </m:r>
        <m:r>
          <m:t xml:space="preserve">1.5</m:t>
        </m:r>
        <m:r>
          <m:t xml:space="preserve">,</m:t>
        </m:r>
        <m:r>
          <m:rPr>
            <m:lit/>
            <m:nor/>
          </m:rPr>
          <m:t xml:space="preserve"> </m:t>
        </m:r>
        <m:r>
          <m:t xml:space="preserve">4.5</m:t>
        </m:r>
        <m:r>
          <m:t xml:space="preserve">,</m:t>
        </m:r>
        <m:r>
          <m:rPr>
            <m:lit/>
            <m:nor/>
          </m:rPr>
          <m:t xml:space="preserve"> </m:t>
        </m:r>
        <m:r>
          <m:t xml:space="preserve">9.0</m:t>
        </m:r>
        <m:r>
          <m:t xml:space="preserve">}</m:t>
        </m:r>
      </m:oMath>
      <w:r>
        <w:rPr>
          <w:rFonts w:cs="Arial" w:ascii="Arial" w:hAnsi="Arial"/>
        </w:rPr>
        <w:t>). For each of the 15 parameter combinations, we simulated 30 independent artificial agents, generating synthetic choice and reward trajectories.</w:t>
      </w:r>
    </w:p>
    <w:p>
      <w:pPr>
        <w:pStyle w:val="Normal"/>
        <w:rPr>
          <w:rFonts w:ascii="Arial" w:hAnsi="Arial" w:cs="Arial"/>
        </w:rPr>
      </w:pPr>
      <w:r>
        <w:rPr>
          <w:rFonts w:cs="Arial" w:ascii="Arial" w:hAnsi="Arial"/>
        </w:rPr>
        <w:t>These synthetic datasets were then fed back to our MAP estimation pipeline, completely blinded to the true generating parameters, to obtain recovered parameter estimates. Recovery success was quantified by calculating the Pearson correlation coefficient (</w:t>
      </w:r>
      <w:r>
        <w:rPr/>
      </w:r>
      <m:oMath xmlns:m="http://schemas.openxmlformats.org/officeDocument/2006/math">
        <m:r>
          <m:t xml:space="preserve">ρ</m:t>
        </m:r>
      </m:oMath>
      <w:r>
        <w:rPr>
          <w:rFonts w:cs="Arial" w:ascii="Arial" w:hAnsi="Arial"/>
        </w:rPr>
        <w:t xml:space="preserve">) between the ground-truth parameter vales and the recovered MAP estimates, ensuring that our model does not suffer from parameter unidentifiability or severe trade-offs between </w:t>
      </w:r>
      <w:r>
        <w:rPr/>
      </w:r>
      <m:oMath xmlns:m="http://schemas.openxmlformats.org/officeDocument/2006/math">
        <m:r>
          <m:t xml:space="preserve">α</m:t>
        </m:r>
      </m:oMath>
      <w:r>
        <w:rPr>
          <w:rFonts w:cs="Arial" w:ascii="Arial" w:hAnsi="Arial"/>
        </w:rPr>
        <w:t xml:space="preserve"> and </w:t>
      </w:r>
      <w:r>
        <w:rPr/>
      </w:r>
      <m:oMath xmlns:m="http://schemas.openxmlformats.org/officeDocument/2006/math">
        <m:r>
          <m:t xml:space="preserve">β</m:t>
        </m:r>
      </m:oMath>
      <w:r>
        <w:rPr>
          <w:rFonts w:cs="Arial" w:ascii="Arial" w:hAnsi="Arial"/>
        </w:rPr>
        <w:t xml:space="preserve">. </w:t>
      </w:r>
    </w:p>
    <w:p>
      <w:pPr>
        <w:pStyle w:val="Duz3"/>
        <w:rPr>
          <w:rFonts w:ascii="Arial" w:hAnsi="Arial" w:cs="Arial"/>
        </w:rPr>
      </w:pPr>
      <w:r>
        <w:rPr>
          <w:rFonts w:cs="Arial" w:ascii="Arial" w:hAnsi="Arial"/>
        </w:rPr>
        <w:t>1.4.2 Predictive Validity Check and Model Fit</w:t>
      </w:r>
    </w:p>
    <w:p>
      <w:pPr>
        <w:pStyle w:val="Normal"/>
        <w:rPr>
          <w:rFonts w:ascii="Arial" w:hAnsi="Arial" w:cs="Arial"/>
        </w:rPr>
      </w:pPr>
      <w:r>
        <w:rPr>
          <w:rFonts w:cs="Arial" w:ascii="Arial" w:hAnsi="Arial"/>
        </w:rPr>
        <w:t>To ensure that fitted computational model accurately captured the true behavioral dynamics of our participants, we performed the predictive checks. For each participant, we utilized their individually fitted parameters (</w:t>
      </w:r>
      <w:r>
        <w:rPr/>
      </w:r>
      <m:oMath xmlns:m="http://schemas.openxmlformats.org/officeDocument/2006/math">
        <m:r>
          <m:t xml:space="preserve">α</m:t>
        </m:r>
        <m:r>
          <m:rPr>
            <m:lit/>
            <m:nor/>
          </m:rPr>
          <m:t xml:space="preserve"> </m:t>
        </m:r>
      </m:oMath>
      <w:r>
        <w:rPr>
          <w:rFonts w:cs="Arial" w:ascii="Arial" w:hAnsi="Arial"/>
        </w:rPr>
        <w:t xml:space="preserve">and </w:t>
      </w:r>
      <w:r>
        <w:rPr/>
      </w:r>
      <m:oMath xmlns:m="http://schemas.openxmlformats.org/officeDocument/2006/math">
        <m:r>
          <m:t xml:space="preserve">β</m:t>
        </m:r>
      </m:oMath>
      <w:r>
        <w:rPr>
          <w:rFonts w:cs="Arial" w:ascii="Arial" w:hAnsi="Arial"/>
        </w:rPr>
        <w:t xml:space="preserve">) to simulate 100 independent iterations of the task, exposed to the exact same trial-by-trial reward sequence the human participant experienced. </w:t>
      </w:r>
    </w:p>
    <w:p>
      <w:pPr>
        <w:pStyle w:val="Normal"/>
        <w:rPr>
          <w:rFonts w:ascii="Arial" w:hAnsi="Arial" w:cs="Arial"/>
        </w:rPr>
      </w:pPr>
      <w:r>
        <w:rPr>
          <w:rFonts w:cs="Arial" w:ascii="Arial" w:hAnsi="Arial"/>
        </w:rPr>
        <w:t xml:space="preserve">From these simulations, we computed a 95% Confidence Interval representing the model’s predicted average investment trend. This predicted interval was visually and mathematically compared against the participant’s actual trial-by-trial choices and their modeled latent investment probability trajectories. </w:t>
      </w:r>
    </w:p>
    <w:p>
      <w:pPr>
        <w:pStyle w:val="Duz1"/>
        <w:rPr>
          <w:rFonts w:eastAsia="Calibri" w:cs="Arial"/>
        </w:rPr>
      </w:pPr>
      <w:r>
        <w:rPr>
          <w:rFonts w:cs="Arial"/>
        </w:rPr>
        <w:t>2. Supplementary</w:t>
      </w:r>
      <w:r>
        <w:rPr>
          <w:rFonts w:eastAsia="Calibri" w:cs="Arial"/>
        </w:rPr>
        <w:t xml:space="preserve"> Results </w:t>
      </w:r>
    </w:p>
    <w:p>
      <w:pPr>
        <w:pStyle w:val="Duz2"/>
        <w:rPr>
          <w:rFonts w:cs="Arial"/>
        </w:rPr>
      </w:pPr>
      <w:r>
        <w:rPr>
          <w:rFonts w:cs="Arial"/>
        </w:rPr>
        <w:t xml:space="preserve">2.1 Computational Model Selection </w:t>
      </w:r>
    </w:p>
    <w:p>
      <w:pPr>
        <w:pStyle w:val="Normal"/>
        <w:rPr>
          <w:rFonts w:ascii="Arial" w:hAnsi="Arial" w:cs="Arial"/>
        </w:rPr>
      </w:pPr>
      <w:r>
        <w:rPr>
          <w:rFonts w:cs="Arial" w:ascii="Arial" w:hAnsi="Arial"/>
        </w:rPr>
        <w:t>At the aggregate level, the Simple RL model provided the most parsimonious fit for the combined cohort (</w:t>
      </w:r>
      <w:r>
        <w:rPr/>
      </w:r>
      <m:oMath xmlns:m="http://schemas.openxmlformats.org/officeDocument/2006/math">
        <m:nary>
          <m:naryPr>
            <m:chr m:val="∑"/>
            <m:subHide m:val="1"/>
            <m:supHide m:val="1"/>
          </m:naryPr>
          <m:sub/>
          <m:sup/>
          <m:e>
            <m:r>
              <m:rPr>
                <m:lit/>
                <m:nor/>
              </m:rPr>
              <m:t xml:space="preserve"> </m:t>
            </m:r>
          </m:e>
        </m:nary>
        <m:r>
          <m:t xml:space="preserve">BIC</m:t>
        </m:r>
        <m:r>
          <m:rPr>
            <m:lit/>
            <m:nor/>
          </m:rPr>
          <m:t xml:space="preserve"> </m:t>
        </m:r>
        <m:r>
          <m:rPr>
            <m:lit/>
            <m:nor/>
          </m:rPr>
          <m:t xml:space="preserve">=</m:t>
        </m:r>
        <m:r>
          <m:rPr>
            <m:lit/>
            <m:nor/>
          </m:rPr>
          <m:t xml:space="preserve"> </m:t>
        </m:r>
        <m:r>
          <m:t xml:space="preserve">6121.70</m:t>
        </m:r>
      </m:oMath>
      <w:r>
        <w:rPr>
          <w:rFonts w:cs="Arial" w:ascii="Arial" w:hAnsi="Arial"/>
        </w:rPr>
        <w:t xml:space="preserve">). It overwhelmingly outperformed the baseline Null model </w:t>
      </w:r>
      <w:r>
        <w:rPr/>
      </w:r>
      <m:oMath xmlns:m="http://schemas.openxmlformats.org/officeDocument/2006/math">
        <m:r>
          <m:t xml:space="preserve">(</m:t>
        </m:r>
        <m:r>
          <m:t xml:space="preserve">Δ</m:t>
        </m:r>
        <m:r>
          <m:t xml:space="preserve">BIC</m:t>
        </m:r>
        <m:r>
          <m:rPr>
            <m:lit/>
            <m:nor/>
          </m:rPr>
          <m:t xml:space="preserve"> </m:t>
        </m:r>
        <m:r>
          <m:rPr>
            <m:lit/>
            <m:nor/>
          </m:rPr>
          <m:t xml:space="preserve">=</m:t>
        </m:r>
        <m:r>
          <m:rPr>
            <m:lit/>
            <m:nor/>
          </m:rPr>
          <m:t xml:space="preserve"> </m:t>
        </m:r>
        <m:r>
          <m:t xml:space="preserve">698.87</m:t>
        </m:r>
      </m:oMath>
      <w:r>
        <w:rPr>
          <w:rFonts w:cs="Arial" w:ascii="Arial" w:hAnsi="Arial"/>
        </w:rPr>
        <w:t>), confirming that, overall, participant choices were guided by feedback-driven learning. Furthermore, the Simple RL model strongly outperformed the more complex architectures, as the strict BIC penalty for additional parameters resulted in highly inferior scores for both the Dual Alpha (</w:t>
      </w:r>
      <w:r>
        <w:rPr/>
      </w:r>
      <m:oMath xmlns:m="http://schemas.openxmlformats.org/officeDocument/2006/math">
        <m:r>
          <m:t xml:space="preserve">Δ</m:t>
        </m:r>
        <m:r>
          <m:t xml:space="preserve">BIC</m:t>
        </m:r>
        <m:r>
          <m:rPr>
            <m:lit/>
            <m:nor/>
          </m:rPr>
          <m:t xml:space="preserve"> </m:t>
        </m:r>
        <m:r>
          <m:rPr>
            <m:lit/>
            <m:nor/>
          </m:rPr>
          <m:t xml:space="preserve">=</m:t>
        </m:r>
        <m:r>
          <m:rPr>
            <m:lit/>
            <m:nor/>
          </m:rPr>
          <m:t xml:space="preserve"> </m:t>
        </m:r>
        <m:r>
          <m:t xml:space="preserve">100.81</m:t>
        </m:r>
      </m:oMath>
      <w:r>
        <w:rPr>
          <w:rFonts w:cs="Arial" w:ascii="Arial" w:hAnsi="Arial"/>
        </w:rPr>
        <w:t>) and Adaptive Learning (</w:t>
      </w:r>
      <w:r>
        <w:rPr/>
      </w:r>
      <m:oMath xmlns:m="http://schemas.openxmlformats.org/officeDocument/2006/math">
        <m:r>
          <m:t xml:space="preserve">Δ</m:t>
        </m:r>
        <m:r>
          <m:t xml:space="preserve">BIC</m:t>
        </m:r>
        <m:r>
          <m:rPr>
            <m:lit/>
            <m:nor/>
          </m:rPr>
          <m:t xml:space="preserve"> </m:t>
        </m:r>
        <m:r>
          <m:rPr>
            <m:lit/>
            <m:nor/>
          </m:rPr>
          <m:t xml:space="preserve">=</m:t>
        </m:r>
        <m:r>
          <m:rPr>
            <m:lit/>
            <m:nor/>
          </m:rPr>
          <m:t xml:space="preserve"> </m:t>
        </m:r>
        <m:r>
          <m:t xml:space="preserve">289.53</m:t>
        </m:r>
      </m:oMath>
      <w:r>
        <w:rPr>
          <w:rFonts w:cs="Arial" w:ascii="Arial" w:hAnsi="Arial"/>
        </w:rPr>
        <w:t>) models. This indicates that neither asymmetric valuation of positive/negative feedback nor dynamic step-size updating provided enough explanatory power to justify their added complexity.</w:t>
      </w:r>
    </w:p>
    <w:p>
      <w:pPr>
        <w:pStyle w:val="Normal"/>
        <w:rPr>
          <w:rFonts w:ascii="Arial" w:hAnsi="Arial" w:cs="Arial"/>
          <w:b/>
          <w:bCs/>
        </w:rPr>
      </w:pPr>
      <w:r>
        <w:rPr>
          <w:rFonts w:cs="Arial" w:ascii="Arial" w:hAnsi="Arial"/>
          <w:b/>
          <w:bCs/>
        </w:rPr>
        <w:t>Table S1. Formal Model Comparison and Individual Best Fits</w:t>
      </w:r>
    </w:p>
    <w:tbl>
      <w:tblPr>
        <w:tblStyle w:val="PlainTable2"/>
        <w:tblW w:w="936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067"/>
        <w:gridCol w:w="363"/>
        <w:gridCol w:w="1187"/>
        <w:gridCol w:w="951"/>
        <w:gridCol w:w="223"/>
        <w:gridCol w:w="1682"/>
        <w:gridCol w:w="1458"/>
        <w:gridCol w:w="1429"/>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7" w:type="dxa"/>
            <w:tcBorders/>
          </w:tcPr>
          <w:p>
            <w:pPr>
              <w:pStyle w:val="Normal"/>
              <w:widowControl/>
              <w:spacing w:lineRule="auto" w:line="240" w:before="0" w:after="0"/>
              <w:jc w:val="start"/>
              <w:rPr>
                <w:rFonts w:ascii="Arial" w:hAnsi="Arial" w:eastAsia="Times New Roman" w:cs="Arial"/>
                <w:color w:val="1F1F1F"/>
                <w:kern w:val="0"/>
                <w14:ligatures w14:val="none"/>
              </w:rPr>
            </w:pPr>
            <w:r>
              <w:rPr>
                <w:rFonts w:eastAsia="Times New Roman" w:cs="Arial" w:ascii="Arial" w:hAnsi="Arial"/>
                <w:b/>
                <w:bCs/>
                <w:color w:val="1F1F1F"/>
                <w:kern w:val="0"/>
                <w:sz w:val="24"/>
                <w:szCs w:val="24"/>
                <w:lang w:val="en-TR" w:eastAsia="en-US" w:bidi="ar-SA"/>
                <w14:ligatures w14:val="none"/>
              </w:rPr>
              <w:t>Model</w:t>
            </w:r>
          </w:p>
        </w:tc>
        <w:tc>
          <w:tcPr>
            <w:tcW w:w="363" w:type="dxa"/>
            <w:tcBorders/>
          </w:tcPr>
          <w:p>
            <w:pPr>
              <w:pStyle w:val="Normal"/>
              <w:widowControl/>
              <w:spacing w:lineRule="auto" w:line="240" w:before="0" w:after="0"/>
              <w:jc w:val="center"/>
              <w:cnfStyle w:val="100000000000" w:firstRow="1" w:lastRow="0" w:firstColumn="0" w:lastColumn="0" w:oddVBand="0" w:evenVBand="0" w:oddHBand="0" w:evenHBand="0" w:firstRowFirstColumn="0" w:firstRowLastColumn="0" w:lastRowFirstColumn="0" w:lastRowLastColumn="0"/>
              <w:rPr>
                <w:rFonts w:ascii="Arial" w:hAnsi="Arial" w:eastAsia="Times New Roman" w:cs="Arial"/>
                <w:color w:val="1F1F1F"/>
                <w:kern w:val="0"/>
                <w14:ligatures w14:val="none"/>
              </w:rPr>
            </w:pPr>
            <w:r>
              <w:rPr>
                <w:b/>
                <w:bCs/>
                <w:sz w:val="24"/>
                <w:szCs w:val="24"/>
                <w:lang w:val="en-TR" w:eastAsia="en-US" w:bidi="ar-SA"/>
              </w:rPr>
            </w:r>
            <m:oMathPara xmlns:m="http://schemas.openxmlformats.org/officeDocument/2006/math">
              <m:oMathParaPr>
                <m:jc m:val="center"/>
              </m:oMathParaPr>
              <m:oMath>
                <m:r>
                  <m:t xml:space="preserve">k</m:t>
                </m:r>
              </m:oMath>
            </m:oMathPara>
          </w:p>
        </w:tc>
        <w:tc>
          <w:tcPr>
            <w:tcW w:w="1187" w:type="dxa"/>
            <w:tcBorders/>
          </w:tcPr>
          <w:p>
            <w:pPr>
              <w:pStyle w:val="Normal"/>
              <w:widowControl/>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rial" w:hAnsi="Arial" w:eastAsia="Times New Roman" w:cs="Arial"/>
                <w:color w:val="1F1F1F"/>
                <w:kern w:val="0"/>
                <w14:ligatures w14:val="none"/>
              </w:rPr>
            </w:pPr>
            <w:r>
              <w:rPr>
                <w:rFonts w:eastAsia="Times New Roman" w:cs="Arial" w:ascii="Arial" w:hAnsi="Arial"/>
                <w:b/>
                <w:bCs/>
                <w:color w:val="1F1F1F"/>
                <w:kern w:val="0"/>
                <w:sz w:val="24"/>
                <w:szCs w:val="24"/>
                <w:lang w:val="en-TR" w:eastAsia="en-US" w:bidi="ar-SA"/>
                <w14:ligatures w14:val="none"/>
              </w:rPr>
              <w:t>Sum BIC</w:t>
            </w:r>
          </w:p>
        </w:tc>
        <w:tc>
          <w:tcPr>
            <w:tcW w:w="951" w:type="dxa"/>
            <w:tcBorders/>
          </w:tcPr>
          <w:p>
            <w:pPr>
              <w:pStyle w:val="Normal"/>
              <w:widowControl/>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rial" w:hAnsi="Arial" w:eastAsia="Times New Roman" w:cs="Arial"/>
                <w:color w:val="1F1F1F"/>
                <w:kern w:val="0"/>
                <w14:ligatures w14:val="none"/>
              </w:rPr>
            </w:pPr>
            <w:r>
              <w:rPr>
                <w:rFonts w:eastAsia="Aptos" w:cs="" w:ascii="Aptos" w:hAnsi="Aptos"/>
                <w:b/>
                <w:bCs/>
                <w:kern w:val="2"/>
                <w:sz w:val="24"/>
                <w:szCs w:val="24"/>
                <w:lang w:val="en-TR" w:eastAsia="en-US" w:bidi="ar-SA"/>
              </w:rPr>
            </w:r>
            <m:oMath xmlns:m="http://schemas.openxmlformats.org/officeDocument/2006/math">
              <m:r>
                <m:t xml:space="preserve">Δ</m:t>
              </m:r>
            </m:oMath>
            <w:r>
              <w:rPr>
                <w:rFonts w:eastAsia="Times New Roman" w:cs="Arial" w:ascii="Arial" w:hAnsi="Arial"/>
                <w:b/>
                <w:bCs/>
                <w:color w:val="1F1F1F"/>
                <w:kern w:val="0"/>
                <w:sz w:val="24"/>
                <w:szCs w:val="24"/>
                <w:lang w:val="en-TR" w:eastAsia="en-US" w:bidi="ar-SA"/>
                <w14:ligatures w14:val="none"/>
              </w:rPr>
              <w:t>BIC</w:t>
            </w:r>
          </w:p>
        </w:tc>
        <w:tc>
          <w:tcPr>
            <w:tcW w:w="223" w:type="dxa"/>
            <w:tcBorders/>
          </w:tcPr>
          <w:p>
            <w:pPr>
              <w:pStyle w:val="Normal"/>
              <w:widowControl/>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rial" w:hAnsi="Arial" w:eastAsia="Times New Roman" w:cs="Arial"/>
                <w:color w:val="1F1F1F"/>
                <w:kern w:val="0"/>
                <w14:ligatures w14:val="none"/>
              </w:rPr>
            </w:pPr>
            <w:r>
              <w:rPr>
                <w:rFonts w:eastAsia="Times New Roman" w:cs="Arial" w:ascii="Arial" w:hAnsi="Arial"/>
                <w:b/>
                <w:bCs/>
                <w:color w:val="1F1F1F"/>
                <w:kern w:val="0"/>
                <w:sz w:val="24"/>
                <w:szCs w:val="24"/>
                <w:lang w:val="en-TR" w:eastAsia="en-US" w:bidi="ar-SA"/>
                <w14:ligatures w14:val="none"/>
              </w:rPr>
            </w:r>
          </w:p>
        </w:tc>
        <w:tc>
          <w:tcPr>
            <w:tcW w:w="1682" w:type="dxa"/>
            <w:tcBorders/>
          </w:tcPr>
          <w:p>
            <w:pPr>
              <w:pStyle w:val="Normal"/>
              <w:widowControl/>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rial" w:hAnsi="Arial" w:eastAsia="Times New Roman" w:cs="Arial"/>
                <w:color w:val="1F1F1F"/>
                <w:kern w:val="0"/>
                <w14:ligatures w14:val="none"/>
              </w:rPr>
            </w:pPr>
            <w:r>
              <w:rPr>
                <w:rFonts w:eastAsia="Times New Roman" w:cs="Arial" w:ascii="Arial" w:hAnsi="Arial"/>
                <w:b/>
                <w:bCs/>
                <w:color w:val="1F1F1F"/>
                <w:kern w:val="0"/>
                <w:sz w:val="24"/>
                <w:szCs w:val="24"/>
                <w:lang w:val="en-TR" w:eastAsia="en-US" w:bidi="ar-SA"/>
                <w14:ligatures w14:val="none"/>
              </w:rPr>
              <w:t>Best Fit (Total)</w:t>
            </w:r>
          </w:p>
        </w:tc>
        <w:tc>
          <w:tcPr>
            <w:tcW w:w="1458" w:type="dxa"/>
            <w:tcBorders/>
          </w:tcPr>
          <w:p>
            <w:pPr>
              <w:pStyle w:val="Normal"/>
              <w:widowControl/>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rial" w:hAnsi="Arial" w:eastAsia="Times New Roman" w:cs="Arial"/>
                <w:color w:val="1F1F1F"/>
                <w:kern w:val="0"/>
                <w14:ligatures w14:val="none"/>
              </w:rPr>
            </w:pPr>
            <w:r>
              <w:rPr>
                <w:rFonts w:eastAsia="Times New Roman" w:cs="Arial" w:ascii="Arial" w:hAnsi="Arial"/>
                <w:b/>
                <w:bCs/>
                <w:color w:val="1F1F1F"/>
                <w:kern w:val="0"/>
                <w:sz w:val="24"/>
                <w:szCs w:val="24"/>
                <w:lang w:val="en-TR" w:eastAsia="en-US" w:bidi="ar-SA"/>
                <w14:ligatures w14:val="none"/>
              </w:rPr>
              <w:t>Best Fit (HC)</w:t>
            </w:r>
          </w:p>
        </w:tc>
        <w:tc>
          <w:tcPr>
            <w:tcW w:w="1429" w:type="dxa"/>
            <w:tcBorders/>
          </w:tcPr>
          <w:p>
            <w:pPr>
              <w:pStyle w:val="Normal"/>
              <w:widowControl/>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ascii="Arial" w:hAnsi="Arial" w:eastAsia="Times New Roman" w:cs="Arial"/>
                <w:color w:val="1F1F1F"/>
                <w:kern w:val="0"/>
                <w14:ligatures w14:val="none"/>
              </w:rPr>
            </w:pPr>
            <w:r>
              <w:rPr>
                <w:rFonts w:eastAsia="Times New Roman" w:cs="Arial" w:ascii="Arial" w:hAnsi="Arial"/>
                <w:b/>
                <w:bCs/>
                <w:color w:val="1F1F1F"/>
                <w:kern w:val="0"/>
                <w:sz w:val="24"/>
                <w:szCs w:val="24"/>
                <w:lang w:val="en-TR" w:eastAsia="en-US" w:bidi="ar-SA"/>
                <w14:ligatures w14:val="none"/>
              </w:rPr>
              <w:t>Best Fit (SZ)</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7" w:type="dxa"/>
            <w:tcBorders/>
          </w:tcPr>
          <w:p>
            <w:pPr>
              <w:pStyle w:val="Normal"/>
              <w:widowControl/>
              <w:spacing w:lineRule="auto" w:line="240" w:before="0" w:after="0"/>
              <w:jc w:val="start"/>
              <w:rPr>
                <w:rFonts w:ascii="Arial" w:hAnsi="Arial" w:eastAsia="Times New Roman" w:cs="Arial"/>
                <w:color w:val="1F1F1F"/>
                <w:kern w:val="0"/>
                <w14:ligatures w14:val="none"/>
              </w:rPr>
            </w:pPr>
            <w:r>
              <w:rPr>
                <w:rFonts w:eastAsia="Times New Roman" w:cs="Arial" w:ascii="Arial" w:hAnsi="Arial"/>
                <w:b/>
                <w:bCs/>
                <w:color w:val="1F1F1F"/>
                <w:kern w:val="0"/>
                <w:sz w:val="24"/>
                <w:szCs w:val="24"/>
                <w:lang w:val="en-TR" w:eastAsia="en-US" w:bidi="ar-SA"/>
                <w14:ligatures w14:val="none"/>
              </w:rPr>
              <w:t>Simple RL</w:t>
            </w:r>
          </w:p>
        </w:tc>
        <w:tc>
          <w:tcPr>
            <w:tcW w:w="363" w:type="dxa"/>
            <w:tcBorders/>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1F1F1F"/>
                <w:kern w:val="0"/>
                <w14:ligatures w14:val="none"/>
              </w:rPr>
            </w:pPr>
            <w:r>
              <w:rPr>
                <w:rFonts w:eastAsia="Times New Roman" w:cs="Arial" w:ascii="Arial" w:hAnsi="Arial"/>
                <w:color w:val="1F1F1F"/>
                <w:kern w:val="0"/>
                <w:sz w:val="24"/>
                <w:szCs w:val="24"/>
                <w:lang w:val="en-TR" w:eastAsia="en-US" w:bidi="ar-SA"/>
                <w14:ligatures w14:val="none"/>
              </w:rPr>
              <w:t>2</w:t>
            </w:r>
          </w:p>
        </w:tc>
        <w:tc>
          <w:tcPr>
            <w:tcW w:w="1187" w:type="dxa"/>
            <w:tcBorders/>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1F1F1F"/>
                <w:kern w:val="0"/>
                <w14:ligatures w14:val="none"/>
              </w:rPr>
            </w:pPr>
            <w:r>
              <w:rPr>
                <w:rFonts w:eastAsia="Times New Roman" w:cs="Arial" w:ascii="Arial" w:hAnsi="Arial"/>
                <w:color w:val="1F1F1F"/>
                <w:kern w:val="0"/>
                <w:sz w:val="24"/>
                <w:szCs w:val="24"/>
                <w:lang w:val="en-TR" w:eastAsia="en-US" w:bidi="ar-SA"/>
                <w14:ligatures w14:val="none"/>
              </w:rPr>
              <w:t>6121.70</w:t>
            </w:r>
          </w:p>
        </w:tc>
        <w:tc>
          <w:tcPr>
            <w:tcW w:w="951" w:type="dxa"/>
            <w:tcBorders/>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1F1F1F"/>
                <w:kern w:val="0"/>
                <w14:ligatures w14:val="none"/>
              </w:rPr>
            </w:pPr>
            <w:r>
              <w:rPr>
                <w:rFonts w:eastAsia="Times New Roman" w:cs="Arial" w:ascii="Arial" w:hAnsi="Arial"/>
                <w:color w:val="1F1F1F"/>
                <w:kern w:val="0"/>
                <w:sz w:val="24"/>
                <w:szCs w:val="24"/>
                <w:lang w:val="en-TR" w:eastAsia="en-US" w:bidi="ar-SA"/>
                <w14:ligatures w14:val="none"/>
              </w:rPr>
              <w:t>0.00</w:t>
            </w:r>
          </w:p>
        </w:tc>
        <w:tc>
          <w:tcPr>
            <w:tcW w:w="223" w:type="dxa"/>
            <w:tcBorders/>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1F1F1F"/>
                <w:kern w:val="0"/>
                <w14:ligatures w14:val="none"/>
              </w:rPr>
            </w:pPr>
            <w:r>
              <w:rPr>
                <w:rFonts w:eastAsia="Times New Roman" w:cs="Arial" w:ascii="Arial" w:hAnsi="Arial"/>
                <w:color w:val="1F1F1F"/>
                <w:kern w:val="0"/>
                <w:sz w:val="24"/>
                <w:szCs w:val="24"/>
                <w:lang w:val="en-TR" w:eastAsia="en-US" w:bidi="ar-SA"/>
                <w14:ligatures w14:val="none"/>
              </w:rPr>
            </w:r>
          </w:p>
        </w:tc>
        <w:tc>
          <w:tcPr>
            <w:tcW w:w="1682" w:type="dxa"/>
            <w:tcBorders/>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1F1F1F"/>
                <w:kern w:val="0"/>
                <w14:ligatures w14:val="none"/>
              </w:rPr>
            </w:pPr>
            <w:r>
              <w:rPr>
                <w:rFonts w:eastAsia="Times New Roman" w:cs="Arial" w:ascii="Arial" w:hAnsi="Arial"/>
                <w:color w:val="1F1F1F"/>
                <w:kern w:val="0"/>
                <w:sz w:val="24"/>
                <w:szCs w:val="24"/>
                <w:lang w:val="en-TR" w:eastAsia="en-US" w:bidi="ar-SA"/>
                <w14:ligatures w14:val="none"/>
              </w:rPr>
              <w:t>40</w:t>
            </w:r>
          </w:p>
        </w:tc>
        <w:tc>
          <w:tcPr>
            <w:tcW w:w="1458" w:type="dxa"/>
            <w:tcBorders/>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1F1F1F"/>
                <w:kern w:val="0"/>
                <w14:ligatures w14:val="none"/>
              </w:rPr>
            </w:pPr>
            <w:r>
              <w:rPr>
                <w:rFonts w:eastAsia="Times New Roman" w:cs="Arial" w:ascii="Arial" w:hAnsi="Arial"/>
                <w:color w:val="1F1F1F"/>
                <w:kern w:val="0"/>
                <w:sz w:val="24"/>
                <w:szCs w:val="24"/>
                <w:lang w:val="en-TR" w:eastAsia="en-US" w:bidi="ar-SA"/>
                <w14:ligatures w14:val="none"/>
              </w:rPr>
              <w:t>31</w:t>
            </w:r>
          </w:p>
        </w:tc>
        <w:tc>
          <w:tcPr>
            <w:tcW w:w="1429" w:type="dxa"/>
            <w:tcBorders/>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1F1F1F"/>
                <w:kern w:val="0"/>
                <w14:ligatures w14:val="none"/>
              </w:rPr>
            </w:pPr>
            <w:r>
              <w:rPr>
                <w:rFonts w:eastAsia="Times New Roman" w:cs="Arial" w:ascii="Arial" w:hAnsi="Arial"/>
                <w:color w:val="1F1F1F"/>
                <w:kern w:val="0"/>
                <w:sz w:val="24"/>
                <w:szCs w:val="24"/>
                <w:lang w:val="en-TR" w:eastAsia="en-US" w:bidi="ar-SA"/>
                <w14:ligatures w14:val="none"/>
              </w:rPr>
              <w:t>9</w:t>
            </w:r>
          </w:p>
        </w:tc>
      </w:tr>
      <w:tr>
        <w:trPr/>
        <w:tc>
          <w:tcPr>
            <w:cnfStyle w:val="001000000000" w:firstRow="0" w:lastRow="0" w:firstColumn="1" w:lastColumn="0" w:oddVBand="0" w:evenVBand="0" w:oddHBand="0" w:evenHBand="0" w:firstRowFirstColumn="0" w:firstRowLastColumn="0" w:lastRowFirstColumn="0" w:lastRowLastColumn="0"/>
            <w:tcW w:w="2067" w:type="dxa"/>
            <w:tcBorders>
              <w:top w:val="nil"/>
              <w:bottom w:val="nil"/>
            </w:tcBorders>
          </w:tcPr>
          <w:p>
            <w:pPr>
              <w:pStyle w:val="Normal"/>
              <w:widowControl/>
              <w:spacing w:lineRule="auto" w:line="240" w:before="0" w:after="0"/>
              <w:jc w:val="start"/>
              <w:rPr>
                <w:rFonts w:ascii="Arial" w:hAnsi="Arial" w:eastAsia="Times New Roman" w:cs="Arial"/>
                <w:color w:val="1F1F1F"/>
                <w:kern w:val="0"/>
                <w14:ligatures w14:val="none"/>
              </w:rPr>
            </w:pPr>
            <w:r>
              <w:rPr>
                <w:rFonts w:eastAsia="Times New Roman" w:cs="Arial" w:ascii="Arial" w:hAnsi="Arial"/>
                <w:b/>
                <w:bCs/>
                <w:color w:val="1F1F1F"/>
                <w:kern w:val="0"/>
                <w:sz w:val="24"/>
                <w:szCs w:val="24"/>
                <w:lang w:val="en-TR" w:eastAsia="en-US" w:bidi="ar-SA"/>
                <w14:ligatures w14:val="none"/>
              </w:rPr>
              <w:t>Adaptive Learning</w:t>
            </w:r>
          </w:p>
        </w:tc>
        <w:tc>
          <w:tcPr>
            <w:tcW w:w="363" w:type="dxa"/>
            <w:tcBorders>
              <w:top w:val="nil"/>
              <w:bottom w:val="nil"/>
            </w:tcBorders>
          </w:tcPr>
          <w:p>
            <w:pPr>
              <w:pStyle w:val="Normal"/>
              <w:widowControl/>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1F1F1F"/>
                <w:kern w:val="0"/>
                <w14:ligatures w14:val="none"/>
              </w:rPr>
            </w:pPr>
            <w:r>
              <w:rPr>
                <w:rFonts w:eastAsia="Times New Roman" w:cs="Arial" w:ascii="Arial" w:hAnsi="Arial"/>
                <w:color w:val="1F1F1F"/>
                <w:kern w:val="0"/>
                <w:sz w:val="24"/>
                <w:szCs w:val="24"/>
                <w:lang w:val="en-TR" w:eastAsia="en-US" w:bidi="ar-SA"/>
                <w14:ligatures w14:val="none"/>
              </w:rPr>
              <w:t>3</w:t>
            </w:r>
          </w:p>
        </w:tc>
        <w:tc>
          <w:tcPr>
            <w:tcW w:w="1187" w:type="dxa"/>
            <w:tcBorders>
              <w:top w:val="nil"/>
              <w:bottom w:val="nil"/>
            </w:tcBorders>
          </w:tcPr>
          <w:p>
            <w:pPr>
              <w:pStyle w:val="Normal"/>
              <w:widowControl/>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1F1F1F"/>
                <w:kern w:val="0"/>
                <w14:ligatures w14:val="none"/>
              </w:rPr>
            </w:pPr>
            <w:r>
              <w:rPr>
                <w:rFonts w:eastAsia="Times New Roman" w:cs="Arial" w:ascii="Arial" w:hAnsi="Arial"/>
                <w:color w:val="1F1F1F"/>
                <w:kern w:val="0"/>
                <w:sz w:val="24"/>
                <w:szCs w:val="24"/>
                <w:lang w:val="en-TR" w:eastAsia="en-US" w:bidi="ar-SA"/>
                <w14:ligatures w14:val="none"/>
              </w:rPr>
              <w:t>6411.23</w:t>
            </w:r>
          </w:p>
        </w:tc>
        <w:tc>
          <w:tcPr>
            <w:tcW w:w="951" w:type="dxa"/>
            <w:tcBorders>
              <w:top w:val="nil"/>
              <w:bottom w:val="nil"/>
            </w:tcBorders>
          </w:tcPr>
          <w:p>
            <w:pPr>
              <w:pStyle w:val="Normal"/>
              <w:widowControl/>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1F1F1F"/>
                <w:kern w:val="0"/>
                <w14:ligatures w14:val="none"/>
              </w:rPr>
            </w:pPr>
            <w:r>
              <w:rPr>
                <w:rFonts w:eastAsia="Times New Roman" w:cs="Arial" w:ascii="Arial" w:hAnsi="Arial"/>
                <w:color w:val="1F1F1F"/>
                <w:kern w:val="0"/>
                <w:sz w:val="24"/>
                <w:szCs w:val="24"/>
                <w:lang w:val="en-TR" w:eastAsia="en-US" w:bidi="ar-SA"/>
                <w14:ligatures w14:val="none"/>
              </w:rPr>
              <w:t>289.53</w:t>
            </w:r>
          </w:p>
        </w:tc>
        <w:tc>
          <w:tcPr>
            <w:tcW w:w="223" w:type="dxa"/>
            <w:tcBorders>
              <w:top w:val="nil"/>
              <w:bottom w:val="nil"/>
            </w:tcBorders>
          </w:tcPr>
          <w:p>
            <w:pPr>
              <w:pStyle w:val="Normal"/>
              <w:widowControl/>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1F1F1F"/>
                <w:kern w:val="0"/>
                <w14:ligatures w14:val="none"/>
              </w:rPr>
            </w:pPr>
            <w:r>
              <w:rPr>
                <w:rFonts w:eastAsia="Times New Roman" w:cs="Arial" w:ascii="Arial" w:hAnsi="Arial"/>
                <w:color w:val="1F1F1F"/>
                <w:kern w:val="0"/>
                <w:sz w:val="24"/>
                <w:szCs w:val="24"/>
                <w:lang w:val="en-TR" w:eastAsia="en-US" w:bidi="ar-SA"/>
                <w14:ligatures w14:val="none"/>
              </w:rPr>
            </w:r>
          </w:p>
        </w:tc>
        <w:tc>
          <w:tcPr>
            <w:tcW w:w="1682" w:type="dxa"/>
            <w:tcBorders>
              <w:top w:val="nil"/>
              <w:bottom w:val="nil"/>
            </w:tcBorders>
          </w:tcPr>
          <w:p>
            <w:pPr>
              <w:pStyle w:val="Normal"/>
              <w:widowControl/>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1F1F1F"/>
                <w:kern w:val="0"/>
                <w14:ligatures w14:val="none"/>
              </w:rPr>
            </w:pPr>
            <w:r>
              <w:rPr>
                <w:rFonts w:eastAsia="Times New Roman" w:cs="Arial" w:ascii="Arial" w:hAnsi="Arial"/>
                <w:color w:val="1F1F1F"/>
                <w:kern w:val="0"/>
                <w:sz w:val="24"/>
                <w:szCs w:val="24"/>
                <w:lang w:val="en-TR" w:eastAsia="en-US" w:bidi="ar-SA"/>
                <w14:ligatures w14:val="none"/>
              </w:rPr>
              <w:t>3</w:t>
            </w:r>
          </w:p>
        </w:tc>
        <w:tc>
          <w:tcPr>
            <w:tcW w:w="1458" w:type="dxa"/>
            <w:tcBorders>
              <w:top w:val="nil"/>
              <w:bottom w:val="nil"/>
            </w:tcBorders>
          </w:tcPr>
          <w:p>
            <w:pPr>
              <w:pStyle w:val="Normal"/>
              <w:widowControl/>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1F1F1F"/>
                <w:kern w:val="0"/>
                <w14:ligatures w14:val="none"/>
              </w:rPr>
            </w:pPr>
            <w:r>
              <w:rPr>
                <w:rFonts w:eastAsia="Times New Roman" w:cs="Arial" w:ascii="Arial" w:hAnsi="Arial"/>
                <w:color w:val="1F1F1F"/>
                <w:kern w:val="0"/>
                <w:sz w:val="24"/>
                <w:szCs w:val="24"/>
                <w:lang w:val="en-TR" w:eastAsia="en-US" w:bidi="ar-SA"/>
                <w14:ligatures w14:val="none"/>
              </w:rPr>
              <w:t>3</w:t>
            </w:r>
          </w:p>
        </w:tc>
        <w:tc>
          <w:tcPr>
            <w:tcW w:w="1429" w:type="dxa"/>
            <w:tcBorders>
              <w:top w:val="nil"/>
              <w:bottom w:val="nil"/>
            </w:tcBorders>
          </w:tcPr>
          <w:p>
            <w:pPr>
              <w:pStyle w:val="Normal"/>
              <w:widowControl/>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1F1F1F"/>
                <w:kern w:val="0"/>
                <w14:ligatures w14:val="none"/>
              </w:rPr>
            </w:pPr>
            <w:r>
              <w:rPr>
                <w:rFonts w:eastAsia="Times New Roman" w:cs="Arial" w:ascii="Arial" w:hAnsi="Arial"/>
                <w:color w:val="1F1F1F"/>
                <w:kern w:val="0"/>
                <w:sz w:val="24"/>
                <w:szCs w:val="24"/>
                <w:lang w:val="en-TR" w:eastAsia="en-US" w:bidi="ar-SA"/>
                <w14:ligatures w14:val="none"/>
              </w:rPr>
              <w:t>0</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7" w:type="dxa"/>
            <w:tcBorders/>
          </w:tcPr>
          <w:p>
            <w:pPr>
              <w:pStyle w:val="Normal"/>
              <w:widowControl/>
              <w:spacing w:lineRule="auto" w:line="240" w:before="0" w:after="0"/>
              <w:jc w:val="start"/>
              <w:rPr>
                <w:rFonts w:ascii="Arial" w:hAnsi="Arial" w:eastAsia="Times New Roman" w:cs="Arial"/>
                <w:color w:val="1F1F1F"/>
                <w:kern w:val="0"/>
                <w14:ligatures w14:val="none"/>
              </w:rPr>
            </w:pPr>
            <w:r>
              <w:rPr>
                <w:rFonts w:eastAsia="Times New Roman" w:cs="Arial" w:ascii="Arial" w:hAnsi="Arial"/>
                <w:b/>
                <w:bCs/>
                <w:color w:val="1F1F1F"/>
                <w:kern w:val="0"/>
                <w:sz w:val="24"/>
                <w:szCs w:val="24"/>
                <w:lang w:val="en-TR" w:eastAsia="en-US" w:bidi="ar-SA"/>
                <w14:ligatures w14:val="none"/>
              </w:rPr>
              <w:t>Dual Alpha</w:t>
            </w:r>
          </w:p>
        </w:tc>
        <w:tc>
          <w:tcPr>
            <w:tcW w:w="363" w:type="dxa"/>
            <w:tcBorders/>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1F1F1F"/>
                <w:kern w:val="0"/>
                <w14:ligatures w14:val="none"/>
              </w:rPr>
            </w:pPr>
            <w:r>
              <w:rPr>
                <w:rFonts w:eastAsia="Times New Roman" w:cs="Arial" w:ascii="Arial" w:hAnsi="Arial"/>
                <w:color w:val="1F1F1F"/>
                <w:kern w:val="0"/>
                <w:sz w:val="24"/>
                <w:szCs w:val="24"/>
                <w:lang w:val="en-TR" w:eastAsia="en-US" w:bidi="ar-SA"/>
                <w14:ligatures w14:val="none"/>
              </w:rPr>
              <w:t>3</w:t>
            </w:r>
          </w:p>
        </w:tc>
        <w:tc>
          <w:tcPr>
            <w:tcW w:w="1187" w:type="dxa"/>
            <w:tcBorders/>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1F1F1F"/>
                <w:kern w:val="0"/>
                <w14:ligatures w14:val="none"/>
              </w:rPr>
            </w:pPr>
            <w:r>
              <w:rPr>
                <w:rFonts w:eastAsia="Times New Roman" w:cs="Arial" w:ascii="Arial" w:hAnsi="Arial"/>
                <w:color w:val="1F1F1F"/>
                <w:kern w:val="0"/>
                <w:sz w:val="24"/>
                <w:szCs w:val="24"/>
                <w:lang w:val="en-TR" w:eastAsia="en-US" w:bidi="ar-SA"/>
                <w14:ligatures w14:val="none"/>
              </w:rPr>
              <w:t>6222.51</w:t>
            </w:r>
          </w:p>
        </w:tc>
        <w:tc>
          <w:tcPr>
            <w:tcW w:w="951" w:type="dxa"/>
            <w:tcBorders/>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1F1F1F"/>
                <w:kern w:val="0"/>
                <w14:ligatures w14:val="none"/>
              </w:rPr>
            </w:pPr>
            <w:r>
              <w:rPr>
                <w:rFonts w:eastAsia="Times New Roman" w:cs="Arial" w:ascii="Arial" w:hAnsi="Arial"/>
                <w:color w:val="1F1F1F"/>
                <w:kern w:val="0"/>
                <w:sz w:val="24"/>
                <w:szCs w:val="24"/>
                <w:lang w:val="en-TR" w:eastAsia="en-US" w:bidi="ar-SA"/>
                <w14:ligatures w14:val="none"/>
              </w:rPr>
              <w:t>100.81</w:t>
            </w:r>
          </w:p>
        </w:tc>
        <w:tc>
          <w:tcPr>
            <w:tcW w:w="223" w:type="dxa"/>
            <w:tcBorders/>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1F1F1F"/>
                <w:kern w:val="0"/>
                <w14:ligatures w14:val="none"/>
              </w:rPr>
            </w:pPr>
            <w:r>
              <w:rPr>
                <w:rFonts w:eastAsia="Times New Roman" w:cs="Arial" w:ascii="Arial" w:hAnsi="Arial"/>
                <w:color w:val="1F1F1F"/>
                <w:kern w:val="0"/>
                <w:sz w:val="24"/>
                <w:szCs w:val="24"/>
                <w:lang w:val="en-TR" w:eastAsia="en-US" w:bidi="ar-SA"/>
                <w14:ligatures w14:val="none"/>
              </w:rPr>
            </w:r>
          </w:p>
        </w:tc>
        <w:tc>
          <w:tcPr>
            <w:tcW w:w="1682" w:type="dxa"/>
            <w:tcBorders/>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1F1F1F"/>
                <w:kern w:val="0"/>
                <w14:ligatures w14:val="none"/>
              </w:rPr>
            </w:pPr>
            <w:r>
              <w:rPr>
                <w:rFonts w:eastAsia="Times New Roman" w:cs="Arial" w:ascii="Arial" w:hAnsi="Arial"/>
                <w:color w:val="1F1F1F"/>
                <w:kern w:val="0"/>
                <w:sz w:val="24"/>
                <w:szCs w:val="24"/>
                <w:lang w:val="en-TR" w:eastAsia="en-US" w:bidi="ar-SA"/>
                <w14:ligatures w14:val="none"/>
              </w:rPr>
              <w:t>8</w:t>
            </w:r>
          </w:p>
        </w:tc>
        <w:tc>
          <w:tcPr>
            <w:tcW w:w="1458" w:type="dxa"/>
            <w:tcBorders/>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1F1F1F"/>
                <w:kern w:val="0"/>
                <w14:ligatures w14:val="none"/>
              </w:rPr>
            </w:pPr>
            <w:r>
              <w:rPr>
                <w:rFonts w:eastAsia="Times New Roman" w:cs="Arial" w:ascii="Arial" w:hAnsi="Arial"/>
                <w:color w:val="1F1F1F"/>
                <w:kern w:val="0"/>
                <w:sz w:val="24"/>
                <w:szCs w:val="24"/>
                <w:lang w:val="en-TR" w:eastAsia="en-US" w:bidi="ar-SA"/>
                <w14:ligatures w14:val="none"/>
              </w:rPr>
              <w:t>5</w:t>
            </w:r>
          </w:p>
        </w:tc>
        <w:tc>
          <w:tcPr>
            <w:tcW w:w="1429" w:type="dxa"/>
            <w:tcBorders/>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1F1F1F"/>
                <w:kern w:val="0"/>
                <w14:ligatures w14:val="none"/>
              </w:rPr>
            </w:pPr>
            <w:r>
              <w:rPr>
                <w:rFonts w:eastAsia="Times New Roman" w:cs="Arial" w:ascii="Arial" w:hAnsi="Arial"/>
                <w:color w:val="1F1F1F"/>
                <w:kern w:val="0"/>
                <w:sz w:val="24"/>
                <w:szCs w:val="24"/>
                <w:lang w:val="en-TR" w:eastAsia="en-US" w:bidi="ar-SA"/>
                <w14:ligatures w14:val="none"/>
              </w:rPr>
              <w:t>3</w:t>
            </w:r>
          </w:p>
        </w:tc>
      </w:tr>
      <w:tr>
        <w:trPr/>
        <w:tc>
          <w:tcPr>
            <w:cnfStyle w:val="001000000000" w:firstRow="0" w:lastRow="0" w:firstColumn="1" w:lastColumn="0" w:oddVBand="0" w:evenVBand="0" w:oddHBand="0" w:evenHBand="0" w:firstRowFirstColumn="0" w:firstRowLastColumn="0" w:lastRowFirstColumn="0" w:lastRowLastColumn="0"/>
            <w:tcW w:w="2067" w:type="dxa"/>
            <w:tcBorders>
              <w:top w:val="nil"/>
            </w:tcBorders>
          </w:tcPr>
          <w:p>
            <w:pPr>
              <w:pStyle w:val="Normal"/>
              <w:widowControl/>
              <w:spacing w:lineRule="auto" w:line="240" w:before="0" w:after="0"/>
              <w:jc w:val="start"/>
              <w:rPr>
                <w:rFonts w:ascii="Arial" w:hAnsi="Arial" w:eastAsia="Times New Roman" w:cs="Arial"/>
                <w:color w:val="1F1F1F"/>
                <w:kern w:val="0"/>
                <w14:ligatures w14:val="none"/>
              </w:rPr>
            </w:pPr>
            <w:r>
              <w:rPr>
                <w:rFonts w:eastAsia="Times New Roman" w:cs="Arial" w:ascii="Arial" w:hAnsi="Arial"/>
                <w:b/>
                <w:bCs/>
                <w:color w:val="1F1F1F"/>
                <w:kern w:val="0"/>
                <w:sz w:val="24"/>
                <w:szCs w:val="24"/>
                <w:lang w:val="en-TR" w:eastAsia="en-US" w:bidi="ar-SA"/>
                <w14:ligatures w14:val="none"/>
              </w:rPr>
              <w:t>Null (Chance)</w:t>
            </w:r>
          </w:p>
        </w:tc>
        <w:tc>
          <w:tcPr>
            <w:tcW w:w="363" w:type="dxa"/>
            <w:tcBorders>
              <w:top w:val="nil"/>
            </w:tcBorders>
          </w:tcPr>
          <w:p>
            <w:pPr>
              <w:pStyle w:val="Normal"/>
              <w:widowControl/>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1F1F1F"/>
                <w:kern w:val="0"/>
                <w14:ligatures w14:val="none"/>
              </w:rPr>
            </w:pPr>
            <w:r>
              <w:rPr>
                <w:rFonts w:eastAsia="Times New Roman" w:cs="Arial" w:ascii="Arial" w:hAnsi="Arial"/>
                <w:color w:val="1F1F1F"/>
                <w:kern w:val="0"/>
                <w:sz w:val="24"/>
                <w:szCs w:val="24"/>
                <w:lang w:val="en-TR" w:eastAsia="en-US" w:bidi="ar-SA"/>
                <w14:ligatures w14:val="none"/>
              </w:rPr>
              <w:t>0</w:t>
            </w:r>
          </w:p>
        </w:tc>
        <w:tc>
          <w:tcPr>
            <w:tcW w:w="1187" w:type="dxa"/>
            <w:tcBorders>
              <w:top w:val="nil"/>
            </w:tcBorders>
          </w:tcPr>
          <w:p>
            <w:pPr>
              <w:pStyle w:val="Normal"/>
              <w:widowControl/>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1F1F1F"/>
                <w:kern w:val="0"/>
                <w14:ligatures w14:val="none"/>
              </w:rPr>
            </w:pPr>
            <w:r>
              <w:rPr>
                <w:rFonts w:eastAsia="Times New Roman" w:cs="Arial" w:ascii="Arial" w:hAnsi="Arial"/>
                <w:color w:val="1F1F1F"/>
                <w:kern w:val="0"/>
                <w:sz w:val="24"/>
                <w:szCs w:val="24"/>
                <w:lang w:val="en-TR" w:eastAsia="en-US" w:bidi="ar-SA"/>
                <w14:ligatures w14:val="none"/>
              </w:rPr>
              <w:t>6820.57</w:t>
            </w:r>
          </w:p>
        </w:tc>
        <w:tc>
          <w:tcPr>
            <w:tcW w:w="951" w:type="dxa"/>
            <w:tcBorders>
              <w:top w:val="nil"/>
            </w:tcBorders>
          </w:tcPr>
          <w:p>
            <w:pPr>
              <w:pStyle w:val="Normal"/>
              <w:widowControl/>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1F1F1F"/>
                <w:kern w:val="0"/>
                <w14:ligatures w14:val="none"/>
              </w:rPr>
            </w:pPr>
            <w:r>
              <w:rPr>
                <w:rFonts w:eastAsia="Times New Roman" w:cs="Arial" w:ascii="Arial" w:hAnsi="Arial"/>
                <w:color w:val="1F1F1F"/>
                <w:kern w:val="0"/>
                <w:sz w:val="24"/>
                <w:szCs w:val="24"/>
                <w:lang w:val="en-TR" w:eastAsia="en-US" w:bidi="ar-SA"/>
                <w14:ligatures w14:val="none"/>
              </w:rPr>
              <w:t>698.87</w:t>
            </w:r>
          </w:p>
        </w:tc>
        <w:tc>
          <w:tcPr>
            <w:tcW w:w="223" w:type="dxa"/>
            <w:tcBorders>
              <w:top w:val="nil"/>
            </w:tcBorders>
          </w:tcPr>
          <w:p>
            <w:pPr>
              <w:pStyle w:val="Normal"/>
              <w:widowControl/>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1F1F1F"/>
                <w:kern w:val="0"/>
                <w14:ligatures w14:val="none"/>
              </w:rPr>
            </w:pPr>
            <w:r>
              <w:rPr>
                <w:rFonts w:eastAsia="Times New Roman" w:cs="Arial" w:ascii="Arial" w:hAnsi="Arial"/>
                <w:color w:val="1F1F1F"/>
                <w:kern w:val="0"/>
                <w:sz w:val="24"/>
                <w:szCs w:val="24"/>
                <w:lang w:val="en-TR" w:eastAsia="en-US" w:bidi="ar-SA"/>
                <w14:ligatures w14:val="none"/>
              </w:rPr>
            </w:r>
          </w:p>
        </w:tc>
        <w:tc>
          <w:tcPr>
            <w:tcW w:w="1682" w:type="dxa"/>
            <w:tcBorders>
              <w:top w:val="nil"/>
            </w:tcBorders>
          </w:tcPr>
          <w:p>
            <w:pPr>
              <w:pStyle w:val="Normal"/>
              <w:widowControl/>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1F1F1F"/>
                <w:kern w:val="0"/>
                <w14:ligatures w14:val="none"/>
              </w:rPr>
            </w:pPr>
            <w:r>
              <w:rPr>
                <w:rFonts w:eastAsia="Times New Roman" w:cs="Arial" w:ascii="Arial" w:hAnsi="Arial"/>
                <w:color w:val="1F1F1F"/>
                <w:kern w:val="0"/>
                <w:sz w:val="24"/>
                <w:szCs w:val="24"/>
                <w:lang w:val="en-TR" w:eastAsia="en-US" w:bidi="ar-SA"/>
                <w14:ligatures w14:val="none"/>
              </w:rPr>
              <w:t>34</w:t>
            </w:r>
          </w:p>
        </w:tc>
        <w:tc>
          <w:tcPr>
            <w:tcW w:w="1458" w:type="dxa"/>
            <w:tcBorders>
              <w:top w:val="nil"/>
            </w:tcBorders>
          </w:tcPr>
          <w:p>
            <w:pPr>
              <w:pStyle w:val="Normal"/>
              <w:widowControl/>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1F1F1F"/>
                <w:kern w:val="0"/>
                <w14:ligatures w14:val="none"/>
              </w:rPr>
            </w:pPr>
            <w:r>
              <w:rPr>
                <w:rFonts w:eastAsia="Times New Roman" w:cs="Arial" w:ascii="Arial" w:hAnsi="Arial"/>
                <w:color w:val="1F1F1F"/>
                <w:kern w:val="0"/>
                <w:sz w:val="24"/>
                <w:szCs w:val="24"/>
                <w:lang w:val="en-TR" w:eastAsia="en-US" w:bidi="ar-SA"/>
                <w14:ligatures w14:val="none"/>
              </w:rPr>
              <w:t>15</w:t>
            </w:r>
          </w:p>
        </w:tc>
        <w:tc>
          <w:tcPr>
            <w:tcW w:w="1429" w:type="dxa"/>
            <w:tcBorders>
              <w:top w:val="nil"/>
            </w:tcBorders>
          </w:tcPr>
          <w:p>
            <w:pPr>
              <w:pStyle w:val="Normal"/>
              <w:widowControl/>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1F1F1F"/>
                <w:kern w:val="0"/>
                <w14:ligatures w14:val="none"/>
              </w:rPr>
            </w:pPr>
            <w:r>
              <w:rPr>
                <w:rFonts w:eastAsia="Times New Roman" w:cs="Arial" w:ascii="Arial" w:hAnsi="Arial"/>
                <w:color w:val="1F1F1F"/>
                <w:kern w:val="0"/>
                <w:sz w:val="24"/>
                <w:szCs w:val="24"/>
                <w:lang w:val="en-TR" w:eastAsia="en-US" w:bidi="ar-SA"/>
                <w14:ligatures w14:val="none"/>
              </w:rPr>
              <w:t>19</w:t>
            </w:r>
          </w:p>
        </w:tc>
      </w:tr>
    </w:tbl>
    <w:p>
      <w:pPr>
        <w:pStyle w:val="Normal"/>
        <w:spacing w:lineRule="auto" w:line="240"/>
        <w:rPr>
          <w:rFonts w:ascii="Arial" w:hAnsi="Arial" w:cs="Arial"/>
        </w:rPr>
      </w:pPr>
      <w:r>
        <w:rPr>
          <w:rFonts w:cs="Arial" w:ascii="Arial" w:hAnsi="Arial"/>
        </w:rPr>
      </w:r>
    </w:p>
    <w:p>
      <w:pPr>
        <w:pStyle w:val="Normal"/>
        <w:spacing w:lineRule="auto" w:line="240"/>
        <w:rPr>
          <w:rFonts w:ascii="Arial" w:hAnsi="Arial" w:cs="Arial"/>
        </w:rPr>
      </w:pPr>
      <w:r>
        <w:rPr>
          <w:rFonts w:cs="Arial" w:ascii="Arial" w:hAnsi="Arial"/>
        </w:rPr>
        <w:t xml:space="preserve">Legend. Candidate computational models were evaluated using the Bayesian Information Criterion (BIC). </w:t>
      </w:r>
      <w:r>
        <w:rPr/>
      </w:r>
      <m:oMath xmlns:m="http://schemas.openxmlformats.org/officeDocument/2006/math">
        <m:r>
          <m:t xml:space="preserve">k</m:t>
        </m:r>
      </m:oMath>
      <w:r>
        <w:rPr>
          <w:rFonts w:cs="Arial" w:ascii="Arial" w:hAnsi="Arial"/>
        </w:rPr>
        <w:t xml:space="preserve"> indicates the number of free parameters for each model. Sum BIC reflects the cumulative score across the entire study sample (</w:t>
      </w:r>
      <w:r>
        <w:rPr/>
      </w:r>
      <m:oMath xmlns:m="http://schemas.openxmlformats.org/officeDocument/2006/math">
        <m:r>
          <m:t xml:space="preserve">N</m:t>
        </m:r>
        <m:r>
          <m:rPr>
            <m:lit/>
            <m:nor/>
          </m:rPr>
          <m:t xml:space="preserve"> </m:t>
        </m:r>
        <m:r>
          <m:rPr>
            <m:lit/>
            <m:nor/>
          </m:rPr>
          <m:t xml:space="preserve">=</m:t>
        </m:r>
        <m:r>
          <m:rPr>
            <m:lit/>
            <m:nor/>
          </m:rPr>
          <m:t xml:space="preserve"> </m:t>
        </m:r>
        <m:r>
          <m:t xml:space="preserve">85</m:t>
        </m:r>
      </m:oMath>
      <w:r>
        <w:rPr>
          <w:rFonts w:cs="Arial" w:ascii="Arial" w:hAnsi="Arial"/>
        </w:rPr>
        <w:t xml:space="preserve">), where lower values indicate a more parsimonious fit that balances accuracy with model complexity. </w:t>
      </w:r>
      <w:r>
        <w:rPr/>
      </w:r>
      <m:oMath xmlns:m="http://schemas.openxmlformats.org/officeDocument/2006/math">
        <m:r>
          <m:t xml:space="preserve">Δ</m:t>
        </m:r>
        <m:r>
          <m:t xml:space="preserve">BIC</m:t>
        </m:r>
      </m:oMath>
      <w:r>
        <w:rPr>
          <w:rFonts w:cs="Arial" w:ascii="Arial" w:hAnsi="Arial"/>
        </w:rPr>
        <w:t xml:space="preserve"> is calculated relative to the winning baseline model (Simple RL). "Best Fit" counts denote the absolute number of participants for whom a specific model yielded the lowest individual BIC score, categorized by the total sample, Healthy Controls (HC, </w:t>
      </w:r>
      <w:r>
        <w:rPr/>
      </w:r>
      <m:oMath xmlns:m="http://schemas.openxmlformats.org/officeDocument/2006/math">
        <m:r>
          <m:t xml:space="preserve">n</m:t>
        </m:r>
        <m:r>
          <m:rPr>
            <m:lit/>
            <m:nor/>
          </m:rPr>
          <m:t xml:space="preserve"> </m:t>
        </m:r>
        <m:r>
          <m:rPr>
            <m:lit/>
            <m:nor/>
          </m:rPr>
          <m:t xml:space="preserve">=</m:t>
        </m:r>
        <m:r>
          <m:rPr>
            <m:lit/>
            <m:nor/>
          </m:rPr>
          <m:t xml:space="preserve"> </m:t>
        </m:r>
        <m:r>
          <m:t xml:space="preserve">54</m:t>
        </m:r>
      </m:oMath>
      <w:r>
        <w:rPr>
          <w:rFonts w:cs="Arial" w:ascii="Arial" w:hAnsi="Arial"/>
        </w:rPr>
        <w:t xml:space="preserve">), and patients with Schizophrenia (SZ, </w:t>
      </w:r>
      <w:r>
        <w:rPr/>
      </w:r>
      <m:oMath xmlns:m="http://schemas.openxmlformats.org/officeDocument/2006/math">
        <m:r>
          <m:t xml:space="preserve">n</m:t>
        </m:r>
        <m:r>
          <m:rPr>
            <m:lit/>
            <m:nor/>
          </m:rPr>
          <m:t xml:space="preserve"> </m:t>
        </m:r>
        <m:r>
          <m:rPr>
            <m:lit/>
            <m:nor/>
          </m:rPr>
          <m:t xml:space="preserve">=</m:t>
        </m:r>
        <m:r>
          <m:rPr>
            <m:lit/>
            <m:nor/>
          </m:rPr>
          <m:t xml:space="preserve"> </m:t>
        </m:r>
        <m:r>
          <m:t xml:space="preserve">31</m:t>
        </m:r>
      </m:oMath>
      <w:r>
        <w:rPr>
          <w:rFonts w:cs="Arial" w:ascii="Arial" w:hAnsi="Arial"/>
        </w:rPr>
        <w:t>). Bold text highlights the winning aggregate model and the majority best-fit counts for each clinical group.</w:t>
      </w:r>
    </w:p>
    <w:p>
      <w:pPr>
        <w:pStyle w:val="Duz3"/>
        <w:rPr>
          <w:rFonts w:ascii="Arial" w:hAnsi="Arial" w:cs="Arial"/>
        </w:rPr>
      </w:pPr>
      <w:r>
        <w:rPr>
          <w:rFonts w:cs="Arial" w:ascii="Arial" w:hAnsi="Arial"/>
        </w:rPr>
        <w:t>2.1.1 Group-Level Divergence in Learning Strategies</w:t>
      </w:r>
    </w:p>
    <w:p>
      <w:pPr>
        <w:pStyle w:val="Normal"/>
        <w:rPr>
          <w:rFonts w:ascii="Arial" w:hAnsi="Arial" w:cs="Arial"/>
        </w:rPr>
      </w:pPr>
      <w:r>
        <w:rPr>
          <w:rFonts w:cs="Arial" w:ascii="Arial" w:hAnsi="Arial"/>
        </w:rPr>
        <w:t>While the Simple RL model was the definitive winner at the aggregate level, analysis of individual best fits revealed a striking dissociation between the clinical groups. Within the Healthy Control (HC) group, the majority of participants (31 out of 54) were best described by the Simple RL model, indicating robust and systematic value updating.</w:t>
      </w:r>
    </w:p>
    <w:p>
      <w:pPr>
        <w:pStyle w:val="Normal"/>
        <w:rPr>
          <w:rFonts w:ascii="Arial" w:hAnsi="Arial" w:cs="Arial"/>
        </w:rPr>
      </w:pPr>
      <w:r>
        <w:rPr>
          <w:rFonts w:cs="Arial" w:ascii="Arial" w:hAnsi="Arial"/>
        </w:rPr>
        <w:t>Conversely, the majority of the Schizophrenia (SZ) cohort (19 out of 31) were best fit by the zero-parameter Null model. This demonstrates that rather than utilizing a distinct or more complex learning algorithm, the patient group largely failed to integrate trial-by-trial prediction errors, defaulting to a highly stochastic, non-adaptive choice strategy.</w:t>
      </w:r>
    </w:p>
    <w:p>
      <w:pPr>
        <w:pStyle w:val="Normal"/>
        <w:rPr>
          <w:rFonts w:ascii="Arial" w:hAnsi="Arial" w:cs="Arial"/>
        </w:rPr>
      </w:pPr>
      <w:r>
        <w:rPr>
          <w:rFonts w:cs="Arial" w:ascii="Arial" w:hAnsi="Arial"/>
        </w:rPr>
        <w:t xml:space="preserve">Because voxel-wise fMRI analyses require a standardized regressor framework across all subjects, the Simple RL model—having overwhelmingly won the aggregate model comparison and captured the normative learning dynamics of the HC group—was selected to generate the decision noise parameters </w:t>
      </w:r>
      <w:r>
        <w:rPr/>
      </w:r>
      <m:oMath xmlns:m="http://schemas.openxmlformats.org/officeDocument/2006/math">
        <m:r>
          <m:t xml:space="preserve">(</m:t>
        </m:r>
        <m:r>
          <m:t xml:space="preserve">β</m:t>
        </m:r>
      </m:oMath>
      <w:r>
        <w:rPr>
          <w:rFonts w:cs="Arial" w:ascii="Arial" w:hAnsi="Arial"/>
        </w:rPr>
        <w:t>), learning rates (</w:t>
      </w:r>
      <w:r>
        <w:rPr/>
      </w:r>
      <m:oMath xmlns:m="http://schemas.openxmlformats.org/officeDocument/2006/math">
        <m:r>
          <m:t xml:space="preserve">α</m:t>
        </m:r>
      </m:oMath>
      <w:r>
        <w:rPr>
          <w:rFonts w:cs="Arial" w:ascii="Arial" w:hAnsi="Arial"/>
        </w:rPr>
        <w:t>), and trial-by-trial prediction errors (PE) for all main-text behavioral and neuroimaging analyses.</w:t>
      </w:r>
    </w:p>
    <w:p>
      <w:pPr>
        <w:pStyle w:val="Duz2"/>
        <w:rPr>
          <w:rFonts w:cs="Arial"/>
        </w:rPr>
      </w:pPr>
      <w:r>
        <w:rPr>
          <w:rFonts w:cs="Arial"/>
        </w:rPr>
        <w:t>2.1 Parameter Recovery</w:t>
      </w:r>
    </w:p>
    <w:p>
      <w:pPr>
        <w:pStyle w:val="Normal"/>
        <w:rPr>
          <w:rFonts w:ascii="Arial" w:hAnsi="Arial" w:eastAsia="Calibri" w:cs="Arial"/>
        </w:rPr>
      </w:pPr>
      <w:r>
        <w:rPr>
          <w:rFonts w:eastAsia="Calibri" w:cs="Arial" w:ascii="Arial" w:hAnsi="Arial"/>
        </w:rPr>
        <w:t xml:space="preserve">To verify that our Maximum A Posteriori (MAP) estimation pipeline could reliably identify the true generating parameters of our reinforcement learning model, we conducted a parameter recovery analysis. We simulated synthetic choice data using the exact trial structure and reward contingencies of the empirical Trust Game.Using the empirical 60-trial task structure, we observed strong Pearson correlations between the ground-truth generating parameters and the recovered estimated parameters for both learning rate </w:t>
      </w:r>
      <w:r>
        <w:rPr/>
      </w:r>
      <m:oMath xmlns:m="http://schemas.openxmlformats.org/officeDocument/2006/math">
        <m:r>
          <m:t xml:space="preserve">(</m:t>
        </m:r>
        <m:r>
          <m:t xml:space="preserve">α</m:t>
        </m:r>
        <m:r>
          <m:t xml:space="preserve">;</m:t>
        </m:r>
        <m:r>
          <m:t xml:space="preserve">ρ</m:t>
        </m:r>
        <m:r>
          <m:rPr>
            <m:lit/>
            <m:nor/>
          </m:rPr>
          <m:t xml:space="preserve"> </m:t>
        </m:r>
        <m:r>
          <m:rPr>
            <m:lit/>
            <m:nor/>
          </m:rPr>
          <m:t xml:space="preserve">=</m:t>
        </m:r>
        <m:r>
          <m:rPr>
            <m:lit/>
            <m:nor/>
          </m:rPr>
          <m:t xml:space="preserve"> </m:t>
        </m:r>
        <m:r>
          <m:t xml:space="preserve">0.80</m:t>
        </m:r>
      </m:oMath>
      <w:r>
        <w:rPr>
          <w:rFonts w:cs="Arial" w:ascii="Arial" w:hAnsi="Arial"/>
        </w:rPr>
        <w:t xml:space="preserve">)  </w:t>
      </w:r>
      <w:r>
        <w:rPr>
          <w:rFonts w:eastAsia="Calibri" w:cs="Arial" w:ascii="Arial" w:hAnsi="Arial"/>
        </w:rPr>
        <w:t xml:space="preserve">and inverse temperature </w:t>
      </w:r>
      <w:r>
        <w:rPr/>
      </w:r>
      <m:oMath xmlns:m="http://schemas.openxmlformats.org/officeDocument/2006/math">
        <m:r>
          <m:t xml:space="preserve">(</m:t>
        </m:r>
        <m:r>
          <m:t xml:space="preserve">β</m:t>
        </m:r>
        <m:r>
          <m:t xml:space="preserve">;</m:t>
        </m:r>
        <m:r>
          <m:t xml:space="preserve">ρ</m:t>
        </m:r>
        <m:r>
          <m:rPr>
            <m:lit/>
            <m:nor/>
          </m:rPr>
          <m:t xml:space="preserve"> </m:t>
        </m:r>
        <m:r>
          <m:rPr>
            <m:lit/>
            <m:nor/>
          </m:rPr>
          <m:t xml:space="preserve">=</m:t>
        </m:r>
        <m:r>
          <m:rPr>
            <m:lit/>
            <m:nor/>
          </m:rPr>
          <m:t xml:space="preserve"> </m:t>
        </m:r>
        <m:r>
          <m:t xml:space="preserve">0.87</m:t>
        </m:r>
      </m:oMath>
      <w:r>
        <w:rPr>
          <w:rFonts w:eastAsia="Calibri" w:cs="Arial" w:ascii="Arial" w:hAnsi="Arial"/>
        </w:rPr>
        <w:t xml:space="preserve">). To confirm the asymptotic identifiability of the model architecture, we conducted extended simulations using 300 trials, which yielded near-perfect recovery </w:t>
      </w:r>
      <w:r>
        <w:rPr/>
      </w:r>
      <m:oMath xmlns:m="http://schemas.openxmlformats.org/officeDocument/2006/math">
        <m:r>
          <m:t xml:space="preserve">(</m:t>
        </m:r>
        <m:r>
          <m:t xml:space="preserve">ρ</m:t>
        </m:r>
        <m:r>
          <m:rPr>
            <m:lit/>
            <m:nor/>
          </m:rPr>
          <m:t xml:space="preserve"> </m:t>
        </m:r>
        <m:r>
          <m:rPr>
            <m:lit/>
            <m:nor/>
          </m:rPr>
          <m:t xml:space="preserve">=</m:t>
        </m:r>
        <m:r>
          <m:rPr>
            <m:lit/>
            <m:nor/>
          </m:rPr>
          <m:t xml:space="preserve"> </m:t>
        </m:r>
        <m:r>
          <m:t xml:space="preserve">0.97</m:t>
        </m:r>
      </m:oMath>
      <w:r>
        <w:rPr>
          <w:rFonts w:eastAsia="Calibri" w:cs="Arial" w:ascii="Arial" w:hAnsi="Arial"/>
        </w:rPr>
        <w:t>). These results demonstrate that any parameter noise in the empirical fits is driven by the standard constraints of the task length rather than fundamental parameter trade-offs within the model architecture.</w:t>
      </w:r>
    </w:p>
    <w:p>
      <w:pPr>
        <w:pStyle w:val="Normal"/>
        <w:rPr>
          <w:rFonts w:ascii="Arial" w:hAnsi="Arial" w:eastAsia="Calibri" w:cs="Arial"/>
        </w:rPr>
      </w:pPr>
      <w:r>
        <w:rPr/>
        <w:drawing>
          <wp:inline distT="0" distB="0" distL="0" distR="0">
            <wp:extent cx="4234815" cy="3832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4234815" cy="3832860"/>
                    </a:xfrm>
                    <a:prstGeom prst="rect">
                      <a:avLst/>
                    </a:prstGeom>
                    <a:noFill/>
                  </pic:spPr>
                </pic:pic>
              </a:graphicData>
            </a:graphic>
          </wp:inline>
        </w:drawing>
      </w:r>
    </w:p>
    <w:p>
      <w:pPr>
        <w:pStyle w:val="Normal"/>
        <w:spacing w:lineRule="auto" w:line="240"/>
        <w:rPr>
          <w:rFonts w:ascii="Arial" w:hAnsi="Arial" w:eastAsia="Calibri" w:cs="Arial"/>
        </w:rPr>
      </w:pPr>
      <w:r>
        <w:rPr>
          <w:rFonts w:eastAsia="Calibri" w:cs="Arial" w:ascii="Arial" w:hAnsi="Arial"/>
          <w:b/>
          <w:bCs/>
        </w:rPr>
        <w:t>Figure S1.</w:t>
      </w:r>
      <w:r>
        <w:rPr>
          <w:rFonts w:eastAsia="Calibri" w:cs="Arial" w:ascii="Arial" w:hAnsi="Arial"/>
        </w:rPr>
        <w:t xml:space="preserve"> Parameter recovery analysis for the standard Rescorla-Wagner model. Scatter plots illustrate the Pearson correlations between simulated ground-truth parameters (x-axes) and the recovered parameter estimates (y-axes) using the Maximum A Posteriori (MAP) estimation pipeline. (A) Parameter recovery simulating the exact 60-trial structure of the empirical Trust Game demonstrates robust identifiability for both the learning rate </w:t>
      </w:r>
      <w:r>
        <w:rPr/>
      </w:r>
      <m:oMath xmlns:m="http://schemas.openxmlformats.org/officeDocument/2006/math">
        <m:r>
          <m:t xml:space="preserve">(</m:t>
        </m:r>
        <m:r>
          <m:t xml:space="preserve">α</m:t>
        </m:r>
        <m:r>
          <m:t xml:space="preserve">,</m:t>
        </m:r>
        <m:r>
          <m:rPr>
            <m:lit/>
            <m:nor/>
          </m:rPr>
          <m:t xml:space="preserve"> </m:t>
        </m:r>
        <m:r>
          <m:t xml:space="preserve">ρ</m:t>
        </m:r>
        <m:r>
          <m:rPr>
            <m:lit/>
            <m:nor/>
          </m:rPr>
          <m:t xml:space="preserve"> </m:t>
        </m:r>
        <m:r>
          <m:rPr>
            <m:lit/>
            <m:nor/>
          </m:rPr>
          <m:t xml:space="preserve">=</m:t>
        </m:r>
        <m:r>
          <m:rPr>
            <m:lit/>
            <m:nor/>
          </m:rPr>
          <m:t xml:space="preserve"> </m:t>
        </m:r>
        <m:r>
          <m:t xml:space="preserve">0.80</m:t>
        </m:r>
        <m:r>
          <m:t xml:space="preserve">)</m:t>
        </m:r>
      </m:oMath>
      <w:r>
        <w:rPr>
          <w:rFonts w:eastAsia="Calibri" w:cs="Arial" w:ascii="Arial" w:hAnsi="Arial"/>
        </w:rPr>
        <w:t xml:space="preserve"> and the inverse temperature decision noise parameter </w:t>
      </w:r>
      <w:r>
        <w:rPr/>
      </w:r>
      <m:oMath xmlns:m="http://schemas.openxmlformats.org/officeDocument/2006/math">
        <m:r>
          <m:t xml:space="preserve">(</m:t>
        </m:r>
        <m:r>
          <m:t xml:space="preserve">β</m:t>
        </m:r>
        <m:r>
          <m:t xml:space="preserve">,</m:t>
        </m:r>
        <m:r>
          <m:rPr>
            <m:lit/>
            <m:nor/>
          </m:rPr>
          <m:t xml:space="preserve"> </m:t>
        </m:r>
        <m:r>
          <m:t xml:space="preserve">ρ</m:t>
        </m:r>
        <m:r>
          <m:rPr>
            <m:lit/>
            <m:nor/>
          </m:rPr>
          <m:t xml:space="preserve"> </m:t>
        </m:r>
        <m:r>
          <m:rPr>
            <m:lit/>
            <m:nor/>
          </m:rPr>
          <m:t xml:space="preserve">=</m:t>
        </m:r>
        <m:r>
          <m:rPr>
            <m:lit/>
            <m:nor/>
          </m:rPr>
          <m:t xml:space="preserve"> </m:t>
        </m:r>
        <m:r>
          <m:t xml:space="preserve">0.88</m:t>
        </m:r>
        <m:r>
          <m:t xml:space="preserve">)</m:t>
        </m:r>
      </m:oMath>
      <w:r>
        <w:rPr>
          <w:rFonts w:eastAsia="Calibri" w:cs="Arial" w:ascii="Arial" w:hAnsi="Arial"/>
        </w:rPr>
        <w:t xml:space="preserve">. (B) Extended simulations utilizing a 300-trial structure confirm the asymptotic identifiability of the model architecture, yielding near-perfect recovery for both parameters. Shaded regions represent the 95% confidence interval of the regression estimate. All correlations are significant </w:t>
      </w:r>
      <w:r>
        <w:rPr/>
      </w:r>
      <m:oMath xmlns:m="http://schemas.openxmlformats.org/officeDocument/2006/math">
        <m:r>
          <m:t xml:space="preserve">(</m:t>
        </m:r>
        <m:r>
          <m:t xml:space="preserve">p</m:t>
        </m:r>
        <m:r>
          <m:rPr>
            <m:lit/>
            <m:nor/>
          </m:rPr>
          <m:t xml:space="preserve"> </m:t>
        </m:r>
        <m:r>
          <m:rPr>
            <m:lit/>
            <m:nor/>
          </m:rPr>
          <m:t xml:space="preserve">&lt;</m:t>
        </m:r>
        <m:r>
          <m:rPr>
            <m:lit/>
            <m:nor/>
          </m:rPr>
          <m:t xml:space="preserve"> </m:t>
        </m:r>
        <m:r>
          <m:t xml:space="preserve">0.001</m:t>
        </m:r>
        <m:r>
          <m:t xml:space="preserve">)</m:t>
        </m:r>
      </m:oMath>
      <w:r>
        <w:rPr>
          <w:rFonts w:eastAsia="Calibri" w:cs="Arial" w:ascii="Arial" w:hAnsi="Arial"/>
        </w:rPr>
        <w:t>.</w:t>
      </w:r>
    </w:p>
    <w:p>
      <w:pPr>
        <w:pStyle w:val="Duz2"/>
        <w:rPr>
          <w:rFonts w:cs="Arial"/>
        </w:rPr>
      </w:pPr>
      <w:r>
        <w:rPr>
          <w:rFonts w:cs="Arial"/>
        </w:rPr>
        <w:t>2.2 Predictive Checks and Model Fit</w:t>
      </w:r>
    </w:p>
    <w:p>
      <w:pPr>
        <w:pStyle w:val="Normal"/>
        <w:rPr>
          <w:rFonts w:ascii="Arial" w:hAnsi="Arial" w:eastAsia="Calibri" w:cs="Arial"/>
        </w:rPr>
      </w:pPr>
      <w:r>
        <w:rPr>
          <w:rFonts w:eastAsia="Calibri" w:cs="Arial" w:ascii="Arial" w:hAnsi="Arial"/>
        </w:rPr>
        <w:t>Predictive checks confirmed that the individually fitted parameters successfully captured the empirical choice trajectories of the participants.</w:t>
      </w:r>
    </w:p>
    <w:p>
      <w:pPr>
        <w:pStyle w:val="Normal"/>
        <w:rPr>
          <w:rFonts w:ascii="Arial" w:hAnsi="Arial" w:eastAsia="Calibri" w:cs="Arial"/>
        </w:rPr>
      </w:pPr>
      <w:r>
        <w:rPr/>
        <w:drawing>
          <wp:inline distT="0" distB="0" distL="0" distR="0">
            <wp:extent cx="5397500" cy="45085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397500" cy="4508500"/>
                    </a:xfrm>
                    <a:prstGeom prst="rect">
                      <a:avLst/>
                    </a:prstGeom>
                    <a:noFill/>
                  </pic:spPr>
                </pic:pic>
              </a:graphicData>
            </a:graphic>
          </wp:inline>
        </w:drawing>
      </w:r>
    </w:p>
    <w:p>
      <w:pPr>
        <w:pStyle w:val="Normal"/>
        <w:spacing w:lineRule="auto" w:line="240"/>
        <w:rPr>
          <w:rFonts w:ascii="Arial" w:hAnsi="Arial" w:eastAsia="Calibri" w:cs="Arial"/>
          <w:i/>
          <w:iCs/>
        </w:rPr>
      </w:pPr>
      <w:r>
        <w:rPr>
          <w:rFonts w:eastAsia="Calibri" w:cs="Arial" w:ascii="Arial" w:hAnsi="Arial"/>
          <w:b/>
          <w:bCs/>
        </w:rPr>
        <w:t>Figure S2.</w:t>
      </w:r>
      <w:r>
        <w:rPr>
          <w:rFonts w:eastAsia="Calibri" w:cs="Arial" w:ascii="Arial" w:hAnsi="Arial"/>
        </w:rPr>
        <w:t xml:space="preserve"> Predictive check of participant choice behavior. </w:t>
      </w:r>
      <w:r>
        <w:rPr>
          <w:rFonts w:eastAsia="Calibri" w:cs="Arial" w:ascii="Arial" w:hAnsi="Arial"/>
          <w:i/>
          <w:iCs/>
        </w:rPr>
        <w:t>The figure illustrates the alignment between empirically observed choices and data simulated using the individually fitted computational model parameters. The shaded confidence interval of the model's simulated choices closely tracks the actual behavioral trajectories of the participants, confirming that the selected model accurately captures the underlying decision-making dynamics.</w:t>
      </w:r>
    </w:p>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Normal"/>
        <w:spacing w:before="0" w:after="160"/>
        <w:rPr>
          <w:rFonts w:ascii="Arial" w:hAnsi="Arial" w:cs="Arial"/>
          <w:lang w:val="en-US"/>
        </w:rPr>
      </w:pPr>
      <w:r>
        <w:rPr>
          <w:rFonts w:cs="Arial" w:ascii="Arial" w:hAnsi="Arial"/>
          <w:lang w:val="en-US"/>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Helvetica Neue">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 w:name="Aptos">
    <w:charset w:val="01" w:characterSet="utf-8"/>
    <w:family w:val="swiss"/>
    <w:pitch w:val="variable"/>
  </w:font>
</w:fonts>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T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T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TR" w:eastAsia="en-US" w:bidi="ar-SA"/>
      <w14:ligatures w14:val="standardContextual"/>
    </w:rPr>
  </w:style>
  <w:style w:type="paragraph" w:styleId="Heading1">
    <w:name w:val="heading 1"/>
    <w:basedOn w:val="Normal"/>
    <w:next w:val="Normal"/>
    <w:link w:val="Heading1Char"/>
    <w:uiPriority w:val="9"/>
    <w:qFormat/>
    <w:rsid w:val="00fa2cf0"/>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fa2cf0"/>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fa2cf0"/>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fa2cf0"/>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fa2cf0"/>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fa2cf0"/>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a2cf0"/>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a2cf0"/>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a2cf0"/>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a2cf0"/>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fa2cf0"/>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fa2cf0"/>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fa2cf0"/>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fa2cf0"/>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fa2cf0"/>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a2cf0"/>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a2cf0"/>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a2cf0"/>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fa2cf0"/>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fa2cf0"/>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fa2cf0"/>
    <w:rPr>
      <w:i/>
      <w:iCs/>
      <w:color w:themeColor="text1" w:themeTint="bf" w:val="404040"/>
    </w:rPr>
  </w:style>
  <w:style w:type="character" w:styleId="IntenseEmphasis">
    <w:name w:val="Intense Emphasis"/>
    <w:basedOn w:val="DefaultParagraphFont"/>
    <w:uiPriority w:val="21"/>
    <w:qFormat/>
    <w:rsid w:val="00fa2cf0"/>
    <w:rPr>
      <w:i/>
      <w:iCs/>
      <w:color w:themeColor="accent1" w:themeShade="bf" w:val="0F4761"/>
    </w:rPr>
  </w:style>
  <w:style w:type="character" w:styleId="IntenseQuoteChar" w:customStyle="1">
    <w:name w:val="Intense Quote Char"/>
    <w:basedOn w:val="DefaultParagraphFont"/>
    <w:link w:val="IntenseQuote"/>
    <w:uiPriority w:val="30"/>
    <w:qFormat/>
    <w:rsid w:val="00fa2cf0"/>
    <w:rPr>
      <w:i/>
      <w:iCs/>
      <w:color w:themeColor="accent1" w:themeShade="bf" w:val="0F4761"/>
    </w:rPr>
  </w:style>
  <w:style w:type="character" w:styleId="IntenseReference">
    <w:name w:val="Intense Reference"/>
    <w:basedOn w:val="DefaultParagraphFont"/>
    <w:uiPriority w:val="32"/>
    <w:qFormat/>
    <w:rsid w:val="00fa2cf0"/>
    <w:rPr>
      <w:b/>
      <w:bCs/>
      <w:smallCaps/>
      <w:color w:themeColor="accent1" w:themeShade="bf" w:val="0F4761"/>
      <w:spacing w:val="5"/>
    </w:rPr>
  </w:style>
  <w:style w:type="character" w:styleId="Duz3Char" w:customStyle="1">
    <w:name w:val="Duz_3 Char"/>
    <w:basedOn w:val="Heading3Char"/>
    <w:link w:val="Duz3"/>
    <w:qFormat/>
    <w:rsid w:val="00ad6b90"/>
    <w:rPr>
      <w:rFonts w:ascii="Helvetica Neue" w:hAnsi="Helvetica Neue" w:eastAsia="Calibri" w:cs="" w:cstheme="majorBidi"/>
      <w:b/>
      <w:bCs/>
      <w:color w:themeColor="text1" w:val="000000"/>
      <w:kern w:val="0"/>
      <w:sz w:val="28"/>
      <w:szCs w:val="28"/>
      <w:lang w:val="en-US"/>
    </w:rPr>
  </w:style>
  <w:style w:type="character" w:styleId="PlaceholderText">
    <w:name w:val="Placeholder Text"/>
    <w:basedOn w:val="DefaultParagraphFont"/>
    <w:uiPriority w:val="99"/>
    <w:semiHidden/>
    <w:qFormat/>
    <w:rsid w:val="00d362ac"/>
    <w:rPr>
      <w:color w:val="666666"/>
    </w:rPr>
  </w:style>
  <w:style w:type="character" w:styleId="HeaderChar" w:customStyle="1">
    <w:name w:val="Header Char"/>
    <w:basedOn w:val="DefaultParagraphFont"/>
    <w:link w:val="Header"/>
    <w:uiPriority w:val="99"/>
    <w:qFormat/>
    <w:rsid w:val="00385c0f"/>
    <w:rPr/>
  </w:style>
  <w:style w:type="character" w:styleId="FooterChar" w:customStyle="1">
    <w:name w:val="Footer Char"/>
    <w:basedOn w:val="DefaultParagraphFont"/>
    <w:link w:val="Footer"/>
    <w:uiPriority w:val="99"/>
    <w:qFormat/>
    <w:rsid w:val="00385c0f"/>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itleChar"/>
    <w:uiPriority w:val="10"/>
    <w:qFormat/>
    <w:rsid w:val="00fa2cf0"/>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fa2cf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fa2cf0"/>
    <w:pPr>
      <w:spacing w:before="160" w:after="160"/>
      <w:jc w:val="center"/>
    </w:pPr>
    <w:rPr>
      <w:i/>
      <w:iCs/>
      <w:color w:themeColor="text1" w:themeTint="bf" w:val="404040"/>
    </w:rPr>
  </w:style>
  <w:style w:type="paragraph" w:styleId="ListParagraph">
    <w:name w:val="List Paragraph"/>
    <w:basedOn w:val="Normal"/>
    <w:uiPriority w:val="34"/>
    <w:qFormat/>
    <w:rsid w:val="00fa2cf0"/>
    <w:pPr>
      <w:spacing w:before="0" w:after="160"/>
      <w:ind w:start="720"/>
      <w:contextualSpacing/>
    </w:pPr>
    <w:rPr/>
  </w:style>
  <w:style w:type="paragraph" w:styleId="IntenseQuote">
    <w:name w:val="Intense Quote"/>
    <w:basedOn w:val="Normal"/>
    <w:next w:val="Normal"/>
    <w:link w:val="IntenseQuoteChar"/>
    <w:uiPriority w:val="30"/>
    <w:qFormat/>
    <w:rsid w:val="00fa2cf0"/>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Duz3" w:customStyle="1">
    <w:name w:val="Duz_3"/>
    <w:basedOn w:val="Heading3"/>
    <w:link w:val="Duz3Char"/>
    <w:qFormat/>
    <w:rsid w:val="00ad6b90"/>
    <w:pPr/>
    <w:rPr>
      <w:rFonts w:ascii="Helvetica Neue" w:hAnsi="Helvetica Neue" w:eastAsia="Calibri"/>
      <w:b/>
      <w:bCs/>
      <w:color w:themeColor="text1" w:val="000000"/>
      <w:kern w:val="0"/>
      <w:lang w:val="en-US"/>
    </w:rPr>
  </w:style>
  <w:style w:type="paragraph" w:styleId="Duz4" w:customStyle="1">
    <w:name w:val="Duz_4"/>
    <w:basedOn w:val="Heading4"/>
    <w:qFormat/>
    <w:rsid w:val="00ad6b90"/>
    <w:pPr/>
    <w:rPr>
      <w:rFonts w:ascii="Helvetica Neue" w:hAnsi="Helvetica Neue" w:eastAsia="Calibri"/>
      <w:b/>
      <w:bCs/>
      <w:color w:themeColor="text1" w:val="000000"/>
      <w:kern w:val="0"/>
      <w:lang w:val="en-US"/>
    </w:rPr>
  </w:style>
  <w:style w:type="paragraph" w:styleId="Duz1" w:customStyle="1">
    <w:name w:val="Duz_1"/>
    <w:basedOn w:val="Heading1"/>
    <w:qFormat/>
    <w:rsid w:val="00794e2e"/>
    <w:pPr/>
    <w:rPr>
      <w:rFonts w:ascii="Arial" w:hAnsi="Arial"/>
      <w:b/>
      <w:color w:themeColor="text1" w:val="000000"/>
    </w:rPr>
  </w:style>
  <w:style w:type="paragraph" w:styleId="Duz2" w:customStyle="1">
    <w:name w:val="Duz_2"/>
    <w:basedOn w:val="Normal"/>
    <w:qFormat/>
    <w:rsid w:val="00794e2e"/>
    <w:pPr/>
    <w:rPr>
      <w:rFonts w:ascii="Arial" w:hAnsi="Arial"/>
      <w:b/>
      <w:color w:themeColor="text1" w:val="000000"/>
      <w:sz w:val="32"/>
      <w:lang w:val="en-US"/>
    </w:rPr>
  </w:style>
  <w:style w:type="paragraph" w:styleId="HeaderandFooter">
    <w:name w:val="Header and Footer"/>
    <w:basedOn w:val="Normal"/>
    <w:qFormat/>
    <w:pPr/>
    <w:rPr/>
  </w:style>
  <w:style w:type="paragraph" w:styleId="Header">
    <w:name w:val="header"/>
    <w:basedOn w:val="Normal"/>
    <w:link w:val="HeaderChar"/>
    <w:uiPriority w:val="99"/>
    <w:unhideWhenUsed/>
    <w:rsid w:val="00385c0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385c0f"/>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PlainTable2">
    <w:name w:val="Plain Table 2"/>
    <w:basedOn w:val="TableNormal"/>
    <w:uiPriority w:val="42"/>
    <w:rsid w:val="005223e3"/>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sz="4" w:space="0"/>
        </w:tcBorders>
      </w:tcPr>
    </w:tblStylePr>
    <w:tblStylePr w:type="lastRow">
      <w:rPr>
        <w:b/>
        <w:bCs/>
      </w:rPr>
      <w:tblPr/>
      <w:tcPr>
        <w:tcBorders>
          <w:top w:val="single" w:color="7F7F7F" w:themeColor="text1" w:sz="4" w:space="0"/>
        </w:tcBorders>
      </w:tcPr>
    </w:tblStylePr>
    <w:tblStylePr w:type="firstCol">
      <w:rPr>
        <w:b/>
        <w:bCs/>
      </w:rPr>
      <w:tblPr/>
    </w:tblStylePr>
    <w:tblStylePr w:type="lastCol">
      <w:rPr>
        <w:b/>
        <w:bCs/>
      </w:rPr>
      <w:tblPr/>
    </w:tblStylePr>
    <w:tblStylePr w:type="band1Vert">
      <w:tblPr/>
      <w:tcPr>
        <w:tcBorders>
          <w:left w:val="single" w:color="7F7F7F" w:themeColor="text1" w:sz="4" w:space="0"/>
          <w:right w:val="single" w:color="7F7F7F" w:themeColor="text1" w:sz="4" w:space="0"/>
        </w:tcBorders>
      </w:tcPr>
    </w:tblStylePr>
    <w:tblStylePr w:type="band2Vert">
      <w:tblPr/>
      <w:tcPr>
        <w:tcBorders>
          <w:left w:val="single" w:color="7F7F7F" w:themeColor="text1" w:sz="4" w:space="0"/>
          <w:right w:val="single" w:color="7F7F7F" w:themeColor="text1" w:sz="4" w:space="0"/>
        </w:tcBorders>
      </w:tcPr>
    </w:tblStylePr>
    <w:tblStylePr w:type="band1Horz">
      <w:tblPr/>
      <w:tcPr>
        <w:tcBorders>
          <w:top w:val="single" w:color="7F7F7F" w:themeColor="text1" w:sz="4" w:space="0"/>
          <w:bottom w:val="single" w:color="7F7F7F" w:themeColor="text1" w:sz="4"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tif"/><Relationship Id="rId3" Type="http://schemas.openxmlformats.org/officeDocument/2006/relationships/image" Target="media/image2.tif"/><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3247</TotalTime>
  <Application>LibreOffice/26.2.4.2$MacOSX_AARCH64 LibreOffice_project/0229ac93fcf0d7cbc6376066c6f35021cef002dc</Application>
  <AppVersion>15.0000</AppVersion>
  <Pages>9</Pages>
  <Words>2238</Words>
  <Characters>13626</Characters>
  <CharactersWithSpaces>15800</CharactersWithSpaces>
  <Paragraphs>101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2026-04-06T20:24:00Z</dcterms:created>
  <dc:creator>Kaan Keskin</dc:creator>
  <dc:description/>
  <dc:language>en-TR</dc:language>
  <cp:lastModifiedBy/>
  <dcterms:modified xsi:type="dcterms:W3CDTF">2026-06-30T21:16:58Z</dcterms:modified>
  <cp:revision>35</cp:revision>
  <dc:subject/>
  <dc:title/>
</cp:coreProperties>
</file>

<file path=docProps/custom.xml><?xml version="1.0" encoding="utf-8"?>
<Properties xmlns="http://schemas.openxmlformats.org/officeDocument/2006/custom-properties" xmlns:vt="http://schemas.openxmlformats.org/officeDocument/2006/docPropsVTypes"/>
</file>