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5319" w14:textId="77777777" w:rsidR="008223B7" w:rsidRDefault="00000000">
      <w:pPr>
        <w:pStyle w:val="Heading2"/>
      </w:pPr>
      <w:r>
        <w:t>Table 1. Demographic and Clinical Characteristics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443"/>
        <w:gridCol w:w="1964"/>
        <w:gridCol w:w="1719"/>
        <w:gridCol w:w="961"/>
      </w:tblGrid>
      <w:tr w:rsidR="007B3E26" w14:paraId="1AB23744" w14:textId="77777777">
        <w:trPr>
          <w:tblHeader/>
          <w:jc w:val="center"/>
        </w:trPr>
        <w:tc>
          <w:tcPr>
            <w:tcW w:w="344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18B40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9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7CD52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Schizophrenia</w:t>
            </w:r>
          </w:p>
        </w:tc>
        <w:tc>
          <w:tcPr>
            <w:tcW w:w="17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CB008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A1CA9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</w:t>
            </w:r>
          </w:p>
        </w:tc>
      </w:tr>
      <w:tr w:rsidR="007B3E26" w14:paraId="373AF5DD" w14:textId="77777777">
        <w:trPr>
          <w:gridAfter w:val="3"/>
          <w:wAfter w:w="4644" w:type="dxa"/>
          <w:jc w:val="center"/>
        </w:trPr>
        <w:tc>
          <w:tcPr>
            <w:tcW w:w="3443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ED9C9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i/>
                <w:color w:val="000000"/>
                <w:sz w:val="22"/>
                <w:szCs w:val="22"/>
              </w:rPr>
              <w:t>Demographics</w:t>
            </w:r>
          </w:p>
        </w:tc>
      </w:tr>
      <w:tr w:rsidR="007B3E26" w14:paraId="3C140901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6F8E6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Number of Subject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772AE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78967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46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F0890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7B3E26" w14:paraId="1CF8334D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A437A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sex = M (%)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B908A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(58.6)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4C338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 (34.8)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200F5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0.074</w:t>
            </w:r>
          </w:p>
        </w:tc>
      </w:tr>
      <w:tr w:rsidR="007B3E26" w14:paraId="7B72B1C5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4C6C5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A5D71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39.86 (11.03)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F84D9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37.74 (11.94)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88001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0.443</w:t>
            </w:r>
          </w:p>
        </w:tc>
      </w:tr>
      <w:tr w:rsidR="007B3E26" w14:paraId="396287BF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AC3A1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Education Years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FFB6F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13.00 (3.22)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DCC95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13.22 (3.78)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E4253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0.798</w:t>
            </w:r>
          </w:p>
        </w:tc>
      </w:tr>
      <w:tr w:rsidR="007B3E26" w14:paraId="5179E724" w14:textId="77777777">
        <w:trPr>
          <w:gridAfter w:val="3"/>
          <w:wAfter w:w="4644" w:type="dxa"/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E78C4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i/>
                <w:color w:val="000000"/>
                <w:sz w:val="22"/>
                <w:szCs w:val="22"/>
              </w:rPr>
              <w:t>Clinical measures</w:t>
            </w:r>
          </w:p>
        </w:tc>
      </w:tr>
      <w:tr w:rsidR="007B3E26" w14:paraId="1D97EFBA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531B6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 of Onset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0E097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26.45 (7.11)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4FA04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83A5A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7B3E26" w14:paraId="1C9D921D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47075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Duration of Illness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B3A0E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13.72 (10.23)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F0719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02605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7B3E26" w14:paraId="4C059E2F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B14E3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CBZ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D24B4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502.25 (353.34)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5D7DF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74E9F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7B3E26" w14:paraId="3B87C9EF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25C4D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PANSS Total (mean (SD)) 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BA6AE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43.58 (10.26)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6173C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63137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7B3E26" w14:paraId="4D0016C7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A9CEE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PANSS Positive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33EC3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7.85 (2.17)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B92AE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7273B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7B3E26" w14:paraId="1B794B9B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6A93C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PANSS Negative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72D93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12.08 (4.93)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C44E1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B5BD5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7B3E26" w14:paraId="44E10075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643B7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PANSS General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0851E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22.84 (5.85)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FAE3B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C0192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7B3E26" w14:paraId="1C0F5A7D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B6724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SCORS-GA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0935E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3.74 (2.00)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234F8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6F44B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7B3E26" w14:paraId="37EB6660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F2CBA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FROGS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3A1B5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70.80 (8.07)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F50D4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CB812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</w:tbl>
    <w:p w14:paraId="5CC346D1" w14:textId="77777777" w:rsidR="004555C8" w:rsidRDefault="004555C8"/>
    <w:sectPr w:rsidR="004555C8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93816469">
    <w:abstractNumId w:val="1"/>
  </w:num>
  <w:num w:numId="2" w16cid:durableId="1808351603">
    <w:abstractNumId w:val="2"/>
  </w:num>
  <w:num w:numId="3" w16cid:durableId="27455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3B7"/>
    <w:rsid w:val="004555C8"/>
    <w:rsid w:val="007A7B2C"/>
    <w:rsid w:val="007B3E26"/>
    <w:rsid w:val="0082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B15EA2"/>
  <w15:docId w15:val="{7D5AAE4A-BA0D-7649-99E2-98FBE1566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Kaan Keskin</cp:lastModifiedBy>
  <cp:revision>10</cp:revision>
  <dcterms:created xsi:type="dcterms:W3CDTF">2017-02-28T11:18:00Z</dcterms:created>
  <dcterms:modified xsi:type="dcterms:W3CDTF">2026-05-12T15:47:00Z</dcterms:modified>
  <cp:category/>
</cp:coreProperties>
</file>