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6DCA5" w14:textId="3691D52C" w:rsidR="00FA4832" w:rsidRPr="005144F5" w:rsidRDefault="00FA4832" w:rsidP="005144F5">
      <w:pPr>
        <w:pStyle w:val="Duz1"/>
      </w:pPr>
      <w:r w:rsidRPr="008704A5">
        <w:t>2.Methods</w:t>
      </w:r>
    </w:p>
    <w:p w14:paraId="096B9750" w14:textId="4B01594D" w:rsidR="00FA4832" w:rsidRPr="008704A5" w:rsidRDefault="00FA4832" w:rsidP="00935BC7">
      <w:pPr>
        <w:pStyle w:val="Duz2"/>
      </w:pPr>
      <w:r w:rsidRPr="008704A5">
        <w:t>2.1</w:t>
      </w:r>
      <w:r w:rsidR="0057150A" w:rsidRPr="008704A5">
        <w:t xml:space="preserve"> </w:t>
      </w:r>
      <w:r w:rsidRPr="008704A5">
        <w:t>Participants</w:t>
      </w:r>
    </w:p>
    <w:p w14:paraId="7F9884B7" w14:textId="77777777" w:rsidR="00FA4832" w:rsidRPr="008704A5" w:rsidRDefault="00FA4832" w:rsidP="00FA4832">
      <w:pPr>
        <w:jc w:val="both"/>
        <w:rPr>
          <w:rFonts w:eastAsia="Times New Roman"/>
          <w:color w:val="0E0E0E"/>
        </w:rPr>
      </w:pPr>
      <w:r w:rsidRPr="008704A5">
        <w:rPr>
          <w:rFonts w:eastAsia="Times New Roman"/>
          <w:color w:val="0E0E0E"/>
        </w:rPr>
        <w:t xml:space="preserve">Twenty-nine clinically stable, right-handed schizophrenia patients (mean age </w:t>
      </w:r>
      <w:r w:rsidRPr="008704A5">
        <w:rPr>
          <w:rFonts w:eastAsia="Times New Roman"/>
          <w:color w:val="0E0E0E"/>
        </w:rPr>
        <w:sym w:font="Symbol" w:char="F0B1"/>
      </w:r>
      <w:r w:rsidRPr="008704A5">
        <w:rPr>
          <w:rFonts w:eastAsia="Times New Roman"/>
          <w:color w:val="0E0E0E"/>
        </w:rPr>
        <w:t xml:space="preserve"> SD) were recruited from the Ege University Department of Psychiatry Outpatient Unit. All patients had remained on a stable treatment regimen for at least six months before participation, without further alteration in medical treatment The study was conducted under the Declaration of Helsinki, and written informed consent was obtained from all participants.</w:t>
      </w:r>
    </w:p>
    <w:p w14:paraId="19286A93" w14:textId="77777777" w:rsidR="00FA4832" w:rsidRPr="008704A5" w:rsidRDefault="00FA4832" w:rsidP="00FA4832">
      <w:pPr>
        <w:jc w:val="both"/>
        <w:rPr>
          <w:rFonts w:eastAsia="Times New Roman"/>
          <w:color w:val="0E0E0E"/>
        </w:rPr>
      </w:pPr>
    </w:p>
    <w:p w14:paraId="4FCC22B7" w14:textId="0DEEAC05" w:rsidR="00FA4832" w:rsidRPr="008704A5" w:rsidRDefault="00FA4832" w:rsidP="00FA4832">
      <w:pPr>
        <w:jc w:val="both"/>
        <w:rPr>
          <w:rFonts w:eastAsia="Times New Roman"/>
          <w:color w:val="0E0E0E"/>
        </w:rPr>
      </w:pPr>
      <w:r w:rsidRPr="008704A5">
        <w:rPr>
          <w:rFonts w:eastAsia="Times New Roman"/>
          <w:color w:val="0E0E0E"/>
        </w:rPr>
        <w:t>Patients with current depressive episodes, substance use disorders, or significant medical conditions affecting cerebral blood flow such as diabetes, hypertension and morbid obesity were excluded. Healthy controls were recruited through community advertisements and had no history of psychiatric disorders and no family history of schizophrenia. Demographic characteristics of all participants are presented in Table 1.</w:t>
      </w:r>
    </w:p>
    <w:p w14:paraId="655C9BAC" w14:textId="77777777" w:rsidR="00FA4832" w:rsidRPr="008704A5" w:rsidRDefault="00FA4832" w:rsidP="00935BC7">
      <w:pPr>
        <w:pStyle w:val="Duz2"/>
        <w:rPr>
          <w:rFonts w:eastAsia="Times New Roman"/>
        </w:rPr>
      </w:pPr>
      <w:r w:rsidRPr="008704A5">
        <w:rPr>
          <w:rFonts w:eastAsia="Times New Roman"/>
        </w:rPr>
        <w:t>2.2 Psychometric Assessment</w:t>
      </w:r>
    </w:p>
    <w:p w14:paraId="5D5700A1" w14:textId="1D277636" w:rsidR="00FA4832" w:rsidRPr="00C5110E" w:rsidRDefault="00FA4832" w:rsidP="00C5110E">
      <w:pPr>
        <w:jc w:val="both"/>
        <w:rPr>
          <w:b/>
          <w:bCs/>
          <w:u w:val="single"/>
        </w:rPr>
      </w:pPr>
      <w:r w:rsidRPr="008704A5">
        <w:rPr>
          <w:color w:val="0E0E0E"/>
        </w:rPr>
        <w:t xml:space="preserve">Schizophrenia diagnoses were confirmed by using the Structured Clinical Interview for DSM-5 (SCID-5). The Positive and Negative Syndrome Symptom Scale (PANSS), a semi-structured assessment, was administered to evaluate symptom </w:t>
      </w:r>
      <w:r w:rsidR="00485103" w:rsidRPr="008704A5">
        <w:rPr>
          <w:color w:val="0E0E0E"/>
        </w:rPr>
        <w:t>severity</w:t>
      </w:r>
      <w:r w:rsidRPr="008704A5">
        <w:rPr>
          <w:color w:val="0E0E0E"/>
        </w:rPr>
        <w:t xml:space="preserve"> and patient functionality. Cognitive and social functioning were evaluated with the Schizophrenia Cognition Rating Scale (</w:t>
      </w:r>
      <w:proofErr w:type="spellStart"/>
      <w:r w:rsidRPr="008704A5">
        <w:rPr>
          <w:color w:val="0E0E0E"/>
        </w:rPr>
        <w:t>SCoRS</w:t>
      </w:r>
      <w:proofErr w:type="spellEnd"/>
      <w:r w:rsidRPr="008704A5">
        <w:rPr>
          <w:color w:val="0E0E0E"/>
        </w:rPr>
        <w:t>) and the Functional Remission of General Schizophrenia (FROGS).</w:t>
      </w:r>
    </w:p>
    <w:p w14:paraId="6DC006C3" w14:textId="2960EF12" w:rsidR="00FA4832" w:rsidRPr="008704A5" w:rsidRDefault="00FA4832" w:rsidP="00935BC7">
      <w:pPr>
        <w:pStyle w:val="Duz2"/>
      </w:pPr>
      <w:r w:rsidRPr="008704A5">
        <w:t>2.3</w:t>
      </w:r>
      <w:r w:rsidR="00935BC7">
        <w:t xml:space="preserve"> </w:t>
      </w:r>
      <w:r w:rsidRPr="008704A5">
        <w:t>Task Paradigm</w:t>
      </w:r>
    </w:p>
    <w:p w14:paraId="7AD064B7" w14:textId="77777777" w:rsidR="00FA4832" w:rsidRPr="008704A5" w:rsidRDefault="00FA4832" w:rsidP="00FA4832">
      <w:pPr>
        <w:jc w:val="both"/>
        <w:rPr>
          <w:b/>
          <w:bCs/>
        </w:rPr>
      </w:pPr>
      <w:r w:rsidRPr="008704A5">
        <w:t>The experimental paradigm is based on the "Trust Game," a widely used game-theoretical model in the literature that captures interpersonal trust</w:t>
      </w:r>
      <w:r w:rsidRPr="008704A5">
        <w:fldChar w:fldCharType="begin"/>
      </w:r>
      <w:r w:rsidRPr="008704A5">
        <w:instrText xml:space="preserve"> ADDIN ZOTERO_ITEM CSL_CITATION {"citationID":"3c4VG86Y","properties":{"formattedCitation":"\\super 32\\nosupersub{}","plainCitation":"32","noteIndex":0},"citationItems":[{"id":"usDQrzdD/UoGgAq5I","uris":["http://zotero.org/users/10303855/items/YZ4U3224"],"itemData":{"id":153,"type":"article-journal","container-title":"Frontiers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8704A5">
        <w:fldChar w:fldCharType="separate"/>
      </w:r>
      <w:r w:rsidRPr="008704A5">
        <w:rPr>
          <w:vertAlign w:val="superscript"/>
        </w:rPr>
        <w:t>32</w:t>
      </w:r>
      <w:r w:rsidRPr="008704A5">
        <w:fldChar w:fldCharType="end"/>
      </w:r>
      <w:r w:rsidRPr="008704A5">
        <w:t>. Participants met the trustee in person before the fMRI sessions to enhance their belief that they were interacting with a real partner during the task, although the trustee’s responses were preprogrammed. The greeting of trustee to participants procedure was standardized to prevent any influence on baseline trust levels.</w:t>
      </w:r>
    </w:p>
    <w:p w14:paraId="27B4C6AE" w14:textId="77777777" w:rsidR="00FA4832" w:rsidRPr="008704A5" w:rsidRDefault="00FA4832" w:rsidP="00FA4832">
      <w:pPr>
        <w:jc w:val="both"/>
      </w:pPr>
    </w:p>
    <w:p w14:paraId="5D36C0F9" w14:textId="77777777" w:rsidR="00FA4832" w:rsidRPr="008704A5" w:rsidRDefault="00FA4832" w:rsidP="00FA4832">
      <w:pPr>
        <w:jc w:val="both"/>
      </w:pPr>
      <w:r w:rsidRPr="008704A5">
        <w:t>In each trial, the participant starts with an initial endowment of 40 Turkish Lira (TL) and must decide whether to keep the money or invest it by transferring it to the trustee. If the participant keeps the money, it is evenly split between them and the trustee. If the participant chooses to invest, the amount is tripled to 120 TL, and the trustee then decides whether to share this amount equally with the participant or keep all of it. The task consisted of three blocks, each comprising 20 trials, with varying levels of reciprocity toward the investor, for a total of 60 trials.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18960067" w14:textId="77777777" w:rsidR="00FA4832" w:rsidRPr="008704A5" w:rsidRDefault="00FA4832" w:rsidP="00FA4832">
      <w:pPr>
        <w:jc w:val="both"/>
      </w:pPr>
      <w:r w:rsidRPr="008704A5">
        <w:br/>
        <w:t xml:space="preserve">In the first decision screen, participants saw a photo of the trustee alongside their initial </w:t>
      </w:r>
      <w:r w:rsidRPr="008704A5">
        <w:lastRenderedPageBreak/>
        <w:t>endowment of 40 Turkish Lira (TL). They were instructed to decide whether to keep the money or invest it by transferring it to the trustee. No action or response was needed during this phase, 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 and exclusion of the subject.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4D9A3121" w14:textId="77777777" w:rsidR="00FA4832" w:rsidRPr="008704A5" w:rsidRDefault="00FA4832" w:rsidP="00FA4832">
      <w:pPr>
        <w:jc w:val="both"/>
      </w:pPr>
    </w:p>
    <w:p w14:paraId="2F5BA44B" w14:textId="77777777" w:rsidR="00FA4832" w:rsidRPr="008704A5" w:rsidRDefault="00FA4832" w:rsidP="00FA4832">
      <w:pPr>
        <w:jc w:val="both"/>
      </w:pPr>
      <w:r w:rsidRPr="008704A5">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9BA9AE6" w14:textId="77777777" w:rsidR="00FA4832" w:rsidRPr="008704A5" w:rsidRDefault="00FA4832" w:rsidP="00FA4832">
      <w:pPr>
        <w:jc w:val="both"/>
      </w:pPr>
    </w:p>
    <w:p w14:paraId="36D55899" w14:textId="77777777" w:rsidR="00FA4832" w:rsidRPr="008704A5" w:rsidRDefault="00FA4832" w:rsidP="00FA4832">
      <w:pPr>
        <w:jc w:val="both"/>
      </w:pPr>
      <w:r w:rsidRPr="008704A5">
        <w:t>[Insert Figure 1]</w:t>
      </w:r>
    </w:p>
    <w:p w14:paraId="31B4C6C4" w14:textId="77777777" w:rsidR="00FA4832" w:rsidRPr="008704A5" w:rsidRDefault="00FA4832" w:rsidP="00FA4832">
      <w:pPr>
        <w:jc w:val="both"/>
      </w:pPr>
    </w:p>
    <w:p w14:paraId="7F3A173B" w14:textId="77777777" w:rsidR="00FA4832" w:rsidRPr="008704A5" w:rsidRDefault="00FA4832" w:rsidP="00FA4832">
      <w:pPr>
        <w:jc w:val="both"/>
      </w:pPr>
      <w:r w:rsidRPr="008704A5">
        <w:rPr>
          <w:b/>
          <w:bCs/>
        </w:rPr>
        <w:t>Figure 1. Single-trial timeline of the Trust Game.</w:t>
      </w:r>
      <w:r w:rsidRPr="008704A5">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729A1DF4" w14:textId="77777777" w:rsidR="00FA4832" w:rsidRPr="008704A5" w:rsidRDefault="00FA4832" w:rsidP="00FA4832">
      <w:pPr>
        <w:jc w:val="both"/>
      </w:pPr>
    </w:p>
    <w:p w14:paraId="1D7C0CA8" w14:textId="77777777" w:rsidR="00FA4832" w:rsidRPr="008704A5" w:rsidRDefault="00FA4832" w:rsidP="00FA4832">
      <w:pPr>
        <w:jc w:val="both"/>
      </w:pPr>
      <w:r w:rsidRPr="008704A5">
        <w:t>[ Insert Figure 2]</w:t>
      </w:r>
    </w:p>
    <w:p w14:paraId="3AFE5BFA" w14:textId="77777777" w:rsidR="00FA4832" w:rsidRPr="008704A5" w:rsidRDefault="00FA4832" w:rsidP="00FA4832">
      <w:pPr>
        <w:jc w:val="both"/>
      </w:pPr>
    </w:p>
    <w:p w14:paraId="4B1B6295" w14:textId="77777777" w:rsidR="00FA4832" w:rsidRPr="008704A5" w:rsidRDefault="00FA4832" w:rsidP="00FA4832">
      <w:pPr>
        <w:jc w:val="both"/>
      </w:pPr>
      <w:r w:rsidRPr="008704A5">
        <w:rPr>
          <w:b/>
          <w:bCs/>
        </w:rPr>
        <w:t>Figure 2. Trial screens and timing in the Trust Game.</w:t>
      </w:r>
      <w:r w:rsidRPr="008704A5">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8704A5">
        <w:t>share</w:t>
      </w:r>
      <w:proofErr w:type="gramEnd"/>
      <w:r w:rsidRPr="008704A5">
        <w:t xml:space="preserve"> the tripled investment (120 TL, 60 TL each) or keep all—along with participant earnings. (E) Jittered ITI (blank) 3–6 s. (F) Fixation 3–6 s, adjusted to yield a fixed 9 s total inter-trial interval. Durations in seconds unless noted.</w:t>
      </w:r>
    </w:p>
    <w:p w14:paraId="5E05F8E4" w14:textId="1B6E710E" w:rsidR="00BE273B" w:rsidRPr="008704A5" w:rsidRDefault="00BE273B" w:rsidP="00BE273B">
      <w:pPr>
        <w:rPr>
          <w:rFonts w:eastAsia="Calibri"/>
          <w:b/>
          <w:bCs/>
        </w:rPr>
      </w:pPr>
    </w:p>
    <w:p w14:paraId="4B68C4ED" w14:textId="7C72DFF0" w:rsidR="00BE273B" w:rsidRPr="00935BC7" w:rsidRDefault="00BE273B" w:rsidP="00935BC7">
      <w:pPr>
        <w:pStyle w:val="Duz2"/>
      </w:pPr>
      <w:r w:rsidRPr="00935BC7">
        <w:lastRenderedPageBreak/>
        <w:t>2.4. Computational Learning Model Based on Rescorla-Wagner</w:t>
      </w:r>
    </w:p>
    <w:p w14:paraId="16FC313A" w14:textId="77777777" w:rsidR="008D27A3" w:rsidRPr="008704A5" w:rsidRDefault="008D27A3" w:rsidP="00BE273B">
      <w:pPr>
        <w:rPr>
          <w:rFonts w:eastAsia="Calibri"/>
          <w:b/>
          <w:bCs/>
        </w:rPr>
      </w:pPr>
    </w:p>
    <w:p w14:paraId="1A3D2F5B" w14:textId="704CD2EA" w:rsidR="003A74AE" w:rsidRPr="008704A5" w:rsidRDefault="003A74AE" w:rsidP="00BE273B">
      <w:pPr>
        <w:rPr>
          <w:rFonts w:eastAsia="Calibri"/>
        </w:rPr>
      </w:pPr>
      <w:r w:rsidRPr="008704A5">
        <w:rPr>
          <w:rFonts w:eastAsia="Calibri"/>
        </w:rPr>
        <w:t>We implemented a standard Rescorla-Wagner Reinforcement Le</w:t>
      </w:r>
      <w:r w:rsidR="00D90A9C" w:rsidRPr="008704A5">
        <w:rPr>
          <w:rFonts w:eastAsia="Calibri"/>
        </w:rPr>
        <w:t xml:space="preserve">arning model to characterize the trial-by-trial reward predictions and learning dynamics of participants during </w:t>
      </w:r>
      <w:r w:rsidR="00380480" w:rsidRPr="008704A5">
        <w:rPr>
          <w:rFonts w:eastAsia="Calibri"/>
        </w:rPr>
        <w:t>the sequential invest</w:t>
      </w:r>
      <w:r w:rsidR="00876D82" w:rsidRPr="008704A5">
        <w:rPr>
          <w:rFonts w:eastAsia="Calibri"/>
        </w:rPr>
        <w:t xml:space="preserve">ment task. </w:t>
      </w:r>
      <w:r w:rsidR="00EC309A">
        <w:rPr>
          <w:rFonts w:eastAsia="Calibri"/>
        </w:rPr>
        <w:t>The model estimates how participants dynamically update their expectations based on the feedback they receive, utilizing two primary parameters: the learning rate (</w:t>
      </w:r>
      <m:oMath>
        <m:r>
          <w:rPr>
            <w:rFonts w:ascii="Cambria Math" w:eastAsia="Calibri" w:hAnsi="Cambria Math"/>
          </w:rPr>
          <m:t>α</m:t>
        </m:r>
      </m:oMath>
      <w:r w:rsidR="00EC309A">
        <w:rPr>
          <w:rFonts w:eastAsia="Calibri"/>
        </w:rPr>
        <w:t xml:space="preserve">) and the </w:t>
      </w:r>
      <w:r w:rsidR="00155D8D">
        <w:rPr>
          <w:rFonts w:eastAsia="Calibri"/>
        </w:rPr>
        <w:t>inverse</w:t>
      </w:r>
      <w:r w:rsidR="00EC309A">
        <w:rPr>
          <w:rFonts w:eastAsia="Calibri"/>
        </w:rPr>
        <w:t xml:space="preserve"> temperature (</w:t>
      </w:r>
      <m:oMath>
        <m:r>
          <w:rPr>
            <w:rFonts w:ascii="Cambria Math" w:eastAsia="Calibri" w:hAnsi="Cambria Math"/>
          </w:rPr>
          <m:t>β</m:t>
        </m:r>
      </m:oMath>
      <w:r w:rsidR="00EC309A">
        <w:rPr>
          <w:rFonts w:eastAsia="Calibri"/>
        </w:rPr>
        <w:t>).</w:t>
      </w:r>
    </w:p>
    <w:p w14:paraId="0783BA40" w14:textId="77777777" w:rsidR="00313F44" w:rsidRPr="008704A5" w:rsidRDefault="00313F44" w:rsidP="00BE273B">
      <w:pPr>
        <w:rPr>
          <w:rFonts w:eastAsia="Calibri"/>
        </w:rPr>
      </w:pPr>
    </w:p>
    <w:p w14:paraId="2C0593E0" w14:textId="5455E5B9" w:rsidR="00313F44" w:rsidRPr="008704A5" w:rsidRDefault="00313F44" w:rsidP="00BD638E">
      <w:pPr>
        <w:pStyle w:val="Duz3"/>
      </w:pPr>
      <w:r w:rsidRPr="008704A5">
        <w:t>2.4.1 Model Architecture</w:t>
      </w:r>
    </w:p>
    <w:p w14:paraId="2E06A128" w14:textId="21DE2A68" w:rsidR="005D36B4" w:rsidRDefault="00BD638E" w:rsidP="005D36B4">
      <w:pPr>
        <w:pStyle w:val="Duz4"/>
      </w:pPr>
      <w:r>
        <w:t xml:space="preserve">2.4.1.1 </w:t>
      </w:r>
      <w:r w:rsidRPr="00BD638E">
        <w:t>Value Updating and Prediction Error</w:t>
      </w:r>
    </w:p>
    <w:p w14:paraId="1597183B" w14:textId="2718F7F2" w:rsidR="00E46B70" w:rsidRDefault="00E46B70" w:rsidP="00BE273B">
      <w:pPr>
        <w:rPr>
          <w:rFonts w:eastAsia="Calibri"/>
        </w:rPr>
      </w:pPr>
      <w:r>
        <w:rPr>
          <w:rFonts w:eastAsia="Calibri"/>
        </w:rPr>
        <w:t>For each trial t, the prediction error (</w:t>
      </w:r>
      <m:oMath>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oMath>
      <w:r>
        <w:rPr>
          <w:rFonts w:eastAsia="Calibri"/>
        </w:rPr>
        <w:t>) was calculated as the difference between the actual outcome received (</w:t>
      </w:r>
      <m:oMath>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oMath>
      <w:r>
        <w:rPr>
          <w:rFonts w:eastAsia="Calibri"/>
        </w:rPr>
        <w:t>) and the participant’s expected value for the chosen action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oMath>
      <w:r>
        <w:rPr>
          <w:rFonts w:eastAsia="Calibri"/>
        </w:rPr>
        <w:t>):</w:t>
      </w:r>
    </w:p>
    <w:p w14:paraId="6FC416EB" w14:textId="77777777" w:rsidR="00BD638E" w:rsidRDefault="00BD638E" w:rsidP="00BE273B">
      <w:pPr>
        <w:rPr>
          <w:rFonts w:eastAsia="Calibri"/>
        </w:rPr>
      </w:pPr>
    </w:p>
    <w:p w14:paraId="16E25989" w14:textId="589F380E" w:rsidR="00E46B70" w:rsidRPr="00BD638E" w:rsidRDefault="00000000" w:rsidP="00BE273B">
      <w:pPr>
        <w:rPr>
          <w:rFonts w:eastAsia="Calibri"/>
        </w:rPr>
      </w:pPr>
      <m:oMathPara>
        <m:oMath>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 xml:space="preserve"> </m:t>
          </m:r>
        </m:oMath>
      </m:oMathPara>
    </w:p>
    <w:p w14:paraId="1199EA73" w14:textId="77777777" w:rsidR="00BD638E" w:rsidRDefault="00BD638E" w:rsidP="00BE273B">
      <w:pPr>
        <w:rPr>
          <w:rFonts w:eastAsia="Calibri"/>
        </w:rPr>
      </w:pPr>
    </w:p>
    <w:p w14:paraId="13FECEFE" w14:textId="2324154F" w:rsidR="00E46B70" w:rsidRPr="00E46B70" w:rsidRDefault="00E46B70" w:rsidP="00BE273B">
      <w:pPr>
        <w:rPr>
          <w:rFonts w:eastAsia="Calibri"/>
        </w:rPr>
      </w:pPr>
      <w:r>
        <w:rPr>
          <w:rFonts w:eastAsia="Calibri"/>
        </w:rPr>
        <w:t>This prediction error was then used to update the expected value for that choice in the subsequent trial (</w:t>
      </w:r>
      <m:oMath>
        <m:r>
          <w:rPr>
            <w:rFonts w:ascii="Cambria Math" w:eastAsia="Calibri" w:hAnsi="Cambria Math"/>
          </w:rPr>
          <m:t>t+1</m:t>
        </m:r>
      </m:oMath>
      <w:r>
        <w:rPr>
          <w:rFonts w:eastAsia="Calibri"/>
        </w:rPr>
        <w:t>), scaled by the learning rate (</w:t>
      </w:r>
      <m:oMath>
        <m:r>
          <w:rPr>
            <w:rFonts w:ascii="Cambria Math" w:eastAsia="Calibri" w:hAnsi="Cambria Math"/>
          </w:rPr>
          <m:t>α</m:t>
        </m:r>
      </m:oMath>
      <w:r>
        <w:rPr>
          <w:rFonts w:eastAsia="Calibri"/>
        </w:rPr>
        <w:t>):</w:t>
      </w:r>
    </w:p>
    <w:p w14:paraId="6E590FD0" w14:textId="77777777" w:rsidR="00BD638E" w:rsidRDefault="00BD638E" w:rsidP="00BE273B">
      <w:pPr>
        <w:rPr>
          <w:rFonts w:eastAsia="Calibri"/>
        </w:rPr>
      </w:pPr>
    </w:p>
    <w:p w14:paraId="549CDF7E" w14:textId="58C3E5F0" w:rsidR="00313F44" w:rsidRPr="008704A5" w:rsidRDefault="00000000" w:rsidP="00BE273B">
      <w:pPr>
        <w:rPr>
          <w:rFonts w:eastAsia="Calibri"/>
        </w:rPr>
      </w:pPr>
      <m:oMathPara>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t+1</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 xml:space="preserve"> +α  ⋅ </m:t>
          </m:r>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oMath>
      </m:oMathPara>
    </w:p>
    <w:p w14:paraId="4101385B" w14:textId="0D817599" w:rsidR="00313F44" w:rsidRPr="008704A5" w:rsidRDefault="00313F44" w:rsidP="00BE273B">
      <w:pPr>
        <w:rPr>
          <w:rFonts w:eastAsia="Calibri"/>
        </w:rPr>
      </w:pPr>
    </w:p>
    <w:p w14:paraId="6A199A03" w14:textId="5A255E58" w:rsidR="00E46B70" w:rsidRDefault="00E46B70" w:rsidP="00BE273B">
      <w:pPr>
        <w:rPr>
          <w:rFonts w:eastAsia="Calibri"/>
        </w:rPr>
      </w:pPr>
      <w:r>
        <w:rPr>
          <w:rFonts w:eastAsia="Calibri"/>
        </w:rPr>
        <w:t>The learning rate (</w:t>
      </w:r>
      <m:oMath>
        <m:r>
          <w:rPr>
            <w:rFonts w:ascii="Cambria Math" w:eastAsia="Calibri" w:hAnsi="Cambria Math"/>
          </w:rPr>
          <m:t>0≤α ≤1)</m:t>
        </m:r>
      </m:oMath>
      <w:r>
        <w:rPr>
          <w:rFonts w:eastAsia="Calibri"/>
        </w:rPr>
        <w:t xml:space="preserve"> dictates the extent which a newly acquired information overrides older information. A higher </w:t>
      </w:r>
      <m:oMath>
        <m:r>
          <w:rPr>
            <w:rFonts w:ascii="Cambria Math" w:eastAsia="Calibri" w:hAnsi="Cambria Math"/>
          </w:rPr>
          <m:t>α</m:t>
        </m:r>
      </m:oMath>
      <w:r>
        <w:rPr>
          <w:rFonts w:eastAsia="Calibri"/>
        </w:rPr>
        <w:t xml:space="preserve">  indicates rapid updating based on recent feedback, whereas a lower </w:t>
      </w:r>
      <m:oMath>
        <m:r>
          <w:rPr>
            <w:rFonts w:ascii="Cambria Math" w:eastAsia="Calibri" w:hAnsi="Cambria Math"/>
          </w:rPr>
          <m:t>α</m:t>
        </m:r>
      </m:oMath>
      <w:r>
        <w:rPr>
          <w:rFonts w:eastAsia="Calibri"/>
        </w:rPr>
        <w:t xml:space="preserve"> reflects slower, more integrated learning over time. </w:t>
      </w:r>
    </w:p>
    <w:p w14:paraId="50FBC6A3" w14:textId="77777777" w:rsidR="005009AC" w:rsidRDefault="005009AC" w:rsidP="00BE273B">
      <w:pPr>
        <w:rPr>
          <w:rFonts w:eastAsia="Calibri"/>
        </w:rPr>
      </w:pPr>
    </w:p>
    <w:p w14:paraId="3D0A26E2" w14:textId="032E4A1F" w:rsidR="000E70CB" w:rsidRDefault="005009AC" w:rsidP="005009AC">
      <w:pPr>
        <w:pStyle w:val="Duz4"/>
      </w:pPr>
      <w:r>
        <w:t>2.4.1.2 Action Selection</w:t>
      </w:r>
    </w:p>
    <w:p w14:paraId="3BEC141A" w14:textId="5E9F0B62" w:rsidR="00313F44" w:rsidRPr="005009AC" w:rsidRDefault="005009AC" w:rsidP="00BE273B">
      <w:r>
        <w:t xml:space="preserve">To model how the participants translated these internal expected values into actual choices, we utilized a </w:t>
      </w:r>
      <w:proofErr w:type="spellStart"/>
      <w:r>
        <w:t>Softmax</w:t>
      </w:r>
      <w:proofErr w:type="spellEnd"/>
      <w:r>
        <w:t xml:space="preserve"> action selection rule. </w:t>
      </w:r>
      <w:r w:rsidR="00E51E06" w:rsidRPr="008704A5">
        <w:rPr>
          <w:rFonts w:eastAsia="Calibri"/>
        </w:rPr>
        <w:t xml:space="preserve">The probability of choosing to invest </w:t>
      </w:r>
      <w:r w:rsidR="00121F92" w:rsidRPr="008704A5">
        <w:rPr>
          <w:rFonts w:eastAsia="Calibri"/>
        </w:rPr>
        <w:t>in</w:t>
      </w:r>
      <w:r w:rsidR="00E51E06" w:rsidRPr="008704A5">
        <w:rPr>
          <w:rFonts w:eastAsia="Calibri"/>
        </w:rPr>
        <w:t xml:space="preserve"> trial </w:t>
      </w:r>
      <m:oMath>
        <m:r>
          <w:rPr>
            <w:rFonts w:ascii="Cambria Math" w:eastAsia="Calibri" w:hAnsi="Cambria Math"/>
          </w:rPr>
          <m:t>t</m:t>
        </m:r>
      </m:oMath>
      <w:r w:rsidR="00E16B9D" w:rsidRPr="008704A5">
        <w:rPr>
          <w:rFonts w:eastAsia="Calibri"/>
        </w:rPr>
        <w:t xml:space="preserve"> was determined by a Softmax choice rule:</w:t>
      </w:r>
    </w:p>
    <w:p w14:paraId="4234AD02" w14:textId="77777777" w:rsidR="00E16B9D" w:rsidRPr="008704A5" w:rsidRDefault="00E16B9D" w:rsidP="00BE273B">
      <w:pPr>
        <w:rPr>
          <w:rFonts w:eastAsia="Calibri"/>
        </w:rPr>
      </w:pPr>
    </w:p>
    <w:p w14:paraId="159E1139" w14:textId="5336C53C" w:rsidR="00E16B9D" w:rsidRPr="008704A5" w:rsidRDefault="00D8199B" w:rsidP="00BE273B">
      <w:pPr>
        <w:rPr>
          <w:rFonts w:eastAsia="Calibri"/>
        </w:rPr>
      </w:pPr>
      <m:oMathPara>
        <m:oMath>
          <m:r>
            <w:rPr>
              <w:rFonts w:ascii="Cambria Math" w:eastAsia="Calibri" w:hAnsi="Cambria Math"/>
            </w:rPr>
            <m:t>P(inves</m:t>
          </m:r>
          <m:sSub>
            <m:sSubPr>
              <m:ctrlPr>
                <w:rPr>
                  <w:rFonts w:ascii="Cambria Math" w:eastAsia="Calibri" w:hAnsi="Cambria Math"/>
                  <w:i/>
                </w:rPr>
              </m:ctrlPr>
            </m:sSubPr>
            <m:e>
              <m:r>
                <w:rPr>
                  <w:rFonts w:ascii="Cambria Math" w:eastAsia="Calibri" w:hAnsi="Cambria Math"/>
                </w:rPr>
                <m:t>t</m:t>
              </m:r>
            </m:e>
            <m:sub>
              <m:r>
                <w:rPr>
                  <w:rFonts w:ascii="Cambria Math" w:eastAsia="Calibri" w:hAnsi="Cambria Math"/>
                </w:rPr>
                <m:t>t</m:t>
              </m:r>
            </m:sub>
          </m:sSub>
          <m:r>
            <w:rPr>
              <w:rFonts w:ascii="Cambria Math" w:eastAsia="Calibri" w:hAnsi="Cambria Math"/>
            </w:rPr>
            <m:t xml:space="preserve">) = </m:t>
          </m:r>
          <m:f>
            <m:fPr>
              <m:ctrlPr>
                <w:rPr>
                  <w:rFonts w:ascii="Cambria Math" w:eastAsia="Calibri" w:hAnsi="Cambria Math"/>
                  <w:i/>
                </w:rPr>
              </m:ctrlPr>
            </m:fPr>
            <m:num>
              <m:r>
                <w:rPr>
                  <w:rFonts w:ascii="Cambria Math" w:eastAsia="Calibri" w:hAnsi="Cambria Math"/>
                </w:rPr>
                <m:t>1</m:t>
              </m:r>
            </m:num>
            <m:den>
              <m:r>
                <w:rPr>
                  <w:rFonts w:ascii="Cambria Math" w:eastAsia="Calibri" w:hAnsi="Cambria Math"/>
                </w:rPr>
                <m:t>1+</m:t>
              </m:r>
              <m:sSup>
                <m:sSupPr>
                  <m:ctrlPr>
                    <w:rPr>
                      <w:rFonts w:ascii="Cambria Math" w:eastAsia="Calibri" w:hAnsi="Cambria Math"/>
                      <w:i/>
                    </w:rPr>
                  </m:ctrlPr>
                </m:sSupPr>
                <m:e>
                  <m:r>
                    <w:rPr>
                      <w:rFonts w:ascii="Cambria Math" w:eastAsia="Calibri" w:hAnsi="Cambria Math"/>
                    </w:rPr>
                    <m:t>e</m:t>
                  </m:r>
                </m:e>
                <m:sup>
                  <m:r>
                    <w:rPr>
                      <w:rFonts w:ascii="Cambria Math" w:eastAsia="Calibri" w:hAnsi="Cambria Math"/>
                    </w:rPr>
                    <m:t>-β(</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r>
                    <w:rPr>
                      <w:rFonts w:ascii="Cambria Math" w:eastAsia="Calibri" w:hAnsi="Cambria Math"/>
                    </w:rPr>
                    <m:t>)</m:t>
                  </m:r>
                </m:sup>
              </m:sSup>
            </m:den>
          </m:f>
        </m:oMath>
      </m:oMathPara>
    </w:p>
    <w:p w14:paraId="326660CF" w14:textId="77777777" w:rsidR="00E16B9D" w:rsidRPr="008704A5" w:rsidRDefault="00E16B9D" w:rsidP="00BE273B">
      <w:pPr>
        <w:rPr>
          <w:rFonts w:eastAsia="Calibri"/>
        </w:rPr>
      </w:pPr>
    </w:p>
    <w:p w14:paraId="76F17692" w14:textId="256C07A3" w:rsidR="0080549D" w:rsidRPr="008704A5" w:rsidRDefault="00E16B9D" w:rsidP="00BE273B">
      <w:pPr>
        <w:rPr>
          <w:rFonts w:eastAsia="Calibri"/>
        </w:rPr>
      </w:pPr>
      <w:r w:rsidRPr="008704A5">
        <w:rPr>
          <w:rFonts w:eastAsia="Calibri"/>
        </w:rPr>
        <w:t xml:space="preserve">Here,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oMath>
      <w:r w:rsidRPr="008704A5">
        <w:rPr>
          <w:rFonts w:eastAsia="Calibri"/>
        </w:rPr>
        <w:t xml:space="preserve"> represents the constant value of the safe option </w:t>
      </w:r>
      <w:r w:rsidR="000D76FE" w:rsidRPr="008704A5">
        <w:rPr>
          <w:rFonts w:eastAsia="Calibri"/>
        </w:rPr>
        <w:t xml:space="preserve">and </w:t>
      </w:r>
      <m:oMath>
        <m:r>
          <w:rPr>
            <w:rFonts w:ascii="Cambria Math" w:eastAsia="Calibri" w:hAnsi="Cambria Math"/>
          </w:rPr>
          <m:t>β</m:t>
        </m:r>
      </m:oMath>
      <w:r w:rsidR="00806EC3" w:rsidRPr="008704A5">
        <w:rPr>
          <w:rFonts w:eastAsia="Calibri"/>
        </w:rPr>
        <w:t xml:space="preserve"> (inverse temperature) represents the </w:t>
      </w:r>
      <w:r w:rsidR="0027086F" w:rsidRPr="008704A5">
        <w:rPr>
          <w:rFonts w:eastAsia="Calibri"/>
        </w:rPr>
        <w:t>subjects’</w:t>
      </w:r>
      <w:r w:rsidR="00A5736C" w:rsidRPr="008704A5">
        <w:rPr>
          <w:rFonts w:eastAsia="Calibri"/>
        </w:rPr>
        <w:t xml:space="preserve"> decision consistency or sensitivity to</w:t>
      </w:r>
      <w:r w:rsidR="006D3295" w:rsidRPr="008704A5">
        <w:rPr>
          <w:rFonts w:eastAsia="Calibri"/>
        </w:rPr>
        <w:t xml:space="preserve"> </w:t>
      </w:r>
      <w:r w:rsidR="00A5736C" w:rsidRPr="008704A5">
        <w:rPr>
          <w:rFonts w:eastAsia="Calibri"/>
        </w:rPr>
        <w:t xml:space="preserve">the value difference. </w:t>
      </w:r>
      <w:r w:rsidR="00155D8D" w:rsidRPr="00155D8D">
        <w:rPr>
          <w:rFonts w:eastAsia="Calibri"/>
        </w:rPr>
        <w:t xml:space="preserve">A low </w:t>
      </w:r>
      <m:oMath>
        <m:r>
          <w:rPr>
            <w:rFonts w:ascii="Cambria Math" w:eastAsia="Calibri" w:hAnsi="Cambria Math"/>
          </w:rPr>
          <m:t>β</m:t>
        </m:r>
      </m:oMath>
      <w:r w:rsidR="00155D8D" w:rsidRPr="00155D8D">
        <w:rPr>
          <w:rFonts w:eastAsia="Calibri"/>
        </w:rPr>
        <w:t xml:space="preserve"> (approaching zero) flattens the choice probability distribution, reflecting high decision noise where the participant explores randomly regardless of the learned values. A high </w:t>
      </w:r>
      <m:oMath>
        <m:r>
          <w:rPr>
            <w:rFonts w:ascii="Cambria Math" w:eastAsia="Calibri" w:hAnsi="Cambria Math"/>
          </w:rPr>
          <m:t>β</m:t>
        </m:r>
      </m:oMath>
      <w:r w:rsidR="00155D8D" w:rsidRPr="00155D8D">
        <w:rPr>
          <w:rFonts w:eastAsia="Calibri"/>
        </w:rPr>
        <w:t xml:space="preserve"> steepens the distribution, indicating precise, value-driven behavior where the participant strictly chooses the mathematically optimal option.</w:t>
      </w:r>
    </w:p>
    <w:p w14:paraId="0A4B0D78" w14:textId="77777777" w:rsidR="00841B7F" w:rsidRPr="008704A5" w:rsidRDefault="00841B7F" w:rsidP="00BE273B">
      <w:pPr>
        <w:rPr>
          <w:rFonts w:eastAsia="Calibri"/>
        </w:rPr>
      </w:pPr>
    </w:p>
    <w:p w14:paraId="12D629DB" w14:textId="630D9287" w:rsidR="006D3295" w:rsidRPr="005144F5" w:rsidRDefault="00841B7F" w:rsidP="005144F5">
      <w:pPr>
        <w:pStyle w:val="Duz3"/>
      </w:pPr>
      <w:r w:rsidRPr="008704A5">
        <w:lastRenderedPageBreak/>
        <w:t xml:space="preserve">2.4.2 Parameter Estimation and Model Selection </w:t>
      </w:r>
    </w:p>
    <w:p w14:paraId="044EBFA0" w14:textId="1A416AF2" w:rsidR="0080549D" w:rsidRDefault="00317A12" w:rsidP="00BE273B">
      <w:pPr>
        <w:rPr>
          <w:rFonts w:eastAsia="Calibri"/>
        </w:rPr>
      </w:pPr>
      <w:r>
        <w:rPr>
          <w:rFonts w:eastAsia="Calibri"/>
        </w:rPr>
        <w:t xml:space="preserve">To ensure robust recovery of the global optimum and prevent convergence on local minima, subject-level parameters were estimated </w:t>
      </w:r>
      <w:r w:rsidR="003B6DF3">
        <w:rPr>
          <w:rFonts w:eastAsia="Calibri"/>
        </w:rPr>
        <w:t>utilizing Maximum A Posteriori (MAP) estimation. Optimization was performed using the L-BFGS-B algorithm embedded within a multi-start procedure. Models were fitted by minimizing negative log-posterior of the observed choices. To constrain estimates within psychologically plausible ranges and penalize extreme values, we applied weakly informative priors: a Beta prior for learning rate (</w:t>
      </w:r>
      <m:oMath>
        <m:r>
          <w:rPr>
            <w:rFonts w:ascii="Cambria Math" w:eastAsia="Calibri" w:hAnsi="Cambria Math"/>
          </w:rPr>
          <m:t>α  ~ Beta(1.1,1.1)</m:t>
        </m:r>
      </m:oMath>
      <w:r w:rsidR="003B6DF3">
        <w:rPr>
          <w:rFonts w:eastAsia="Calibri"/>
        </w:rPr>
        <w:t xml:space="preserve">) and a Gamma prior for the inverse temperature </w:t>
      </w:r>
      <m:oMath>
        <m:r>
          <w:rPr>
            <w:rFonts w:ascii="Cambria Math" w:eastAsia="Calibri" w:hAnsi="Cambria Math"/>
          </w:rPr>
          <m:t>(β ~ Gamma (k = 2.5, θ=2.5)</m:t>
        </m:r>
      </m:oMath>
      <w:r w:rsidR="003B6DF3">
        <w:rPr>
          <w:rFonts w:eastAsia="Calibri"/>
        </w:rPr>
        <w:t>).</w:t>
      </w:r>
      <w:r>
        <w:rPr>
          <w:rFonts w:eastAsia="Calibri"/>
        </w:rPr>
        <w:t xml:space="preserve"> </w:t>
      </w:r>
    </w:p>
    <w:p w14:paraId="1E857029" w14:textId="77777777" w:rsidR="00317A12" w:rsidRDefault="00317A12" w:rsidP="00BE273B">
      <w:pPr>
        <w:rPr>
          <w:rFonts w:eastAsia="Calibri"/>
        </w:rPr>
      </w:pPr>
    </w:p>
    <w:p w14:paraId="3FB1FD0D" w14:textId="4B68E007" w:rsidR="006018D8" w:rsidRDefault="006018D8" w:rsidP="00BE273B">
      <w:pPr>
        <w:rPr>
          <w:rFonts w:eastAsia="Calibri"/>
        </w:rPr>
      </w:pPr>
      <w:r>
        <w:rPr>
          <w:rFonts w:eastAsia="Calibri"/>
        </w:rPr>
        <w:t>Crucially, we formally compared two distinct computational architectures to characterize participant behavior, Simple RL Model and Adaptive RL Model. In simple RL model, a standard Rescorla – Wagner model governed by two fixed free parameters: a constant learning rate (</w:t>
      </w:r>
      <m:oMath>
        <m:r>
          <w:rPr>
            <w:rFonts w:ascii="Cambria Math" w:eastAsia="Calibri" w:hAnsi="Cambria Math"/>
          </w:rPr>
          <m:t>α</m:t>
        </m:r>
      </m:oMath>
      <w:r>
        <w:rPr>
          <w:rFonts w:eastAsia="Calibri"/>
        </w:rPr>
        <w:t xml:space="preserve"> </w:t>
      </w:r>
      <m:oMath>
        <m:r>
          <w:rPr>
            <w:rFonts w:ascii="Cambria Math" w:hAnsi="Cambria Math"/>
          </w:rPr>
          <m:t>∈</m:t>
        </m:r>
      </m:oMath>
      <w:r>
        <w:rPr>
          <w:rFonts w:eastAsia="Calibri"/>
        </w:rPr>
        <w:t xml:space="preserve"> [0,1]) and an inverse temperature parameter (</w:t>
      </w:r>
      <m:oMath>
        <m:r>
          <w:rPr>
            <w:rFonts w:ascii="Cambria Math" w:eastAsia="Calibri" w:hAnsi="Cambria Math"/>
          </w:rPr>
          <m:t>β</m:t>
        </m:r>
      </m:oMath>
      <w:r>
        <w:rPr>
          <w:rFonts w:eastAsia="Calibri"/>
        </w:rPr>
        <w:t xml:space="preserve"> </w:t>
      </w:r>
      <m:oMath>
        <m:r>
          <w:rPr>
            <w:rFonts w:ascii="Cambria Math" w:hAnsi="Cambria Math"/>
          </w:rPr>
          <m:t>∈</m:t>
        </m:r>
      </m:oMath>
      <w:r>
        <w:rPr>
          <w:rFonts w:eastAsia="Calibri"/>
        </w:rPr>
        <w:t xml:space="preserve"> [0.01, 30]).</w:t>
      </w:r>
      <w:r w:rsidR="00384FA8">
        <w:rPr>
          <w:rFonts w:eastAsia="Calibri"/>
        </w:rPr>
        <w:t xml:space="preserve"> On the other hand, Adaptive RL Model includes an evolving learning rate model (ref) with three free parameters: an initial learning rate (</w:t>
      </w:r>
      <m:oMath>
        <m:sSub>
          <m:sSubPr>
            <m:ctrlPr>
              <w:rPr>
                <w:rFonts w:ascii="Cambria Math" w:eastAsia="Calibri" w:hAnsi="Cambria Math"/>
                <w:i/>
              </w:rPr>
            </m:ctrlPr>
          </m:sSubPr>
          <m:e>
            <m:r>
              <w:rPr>
                <w:rFonts w:ascii="Cambria Math" w:eastAsia="Calibri" w:hAnsi="Cambria Math"/>
              </w:rPr>
              <m:t>α</m:t>
            </m:r>
          </m:e>
          <m:sub>
            <m:r>
              <w:rPr>
                <w:rFonts w:ascii="Cambria Math" w:eastAsia="Calibri" w:hAnsi="Cambria Math"/>
              </w:rPr>
              <m:t>0</m:t>
            </m:r>
          </m:sub>
        </m:sSub>
      </m:oMath>
      <w:r w:rsidR="00384FA8">
        <w:rPr>
          <w:rFonts w:eastAsia="Calibri"/>
        </w:rPr>
        <w:t>), an update step-size (</w:t>
      </w:r>
      <m:oMath>
        <m:r>
          <w:rPr>
            <w:rFonts w:ascii="Cambria Math" w:eastAsia="Calibri" w:hAnsi="Cambria Math"/>
          </w:rPr>
          <m:t>ϵ</m:t>
        </m:r>
      </m:oMath>
      <w:r w:rsidR="00384FA8">
        <w:rPr>
          <w:rFonts w:eastAsia="Calibri"/>
        </w:rPr>
        <w:t xml:space="preserve"> </w:t>
      </w:r>
      <m:oMath>
        <m:r>
          <w:rPr>
            <w:rFonts w:ascii="Cambria Math" w:hAnsi="Cambria Math"/>
          </w:rPr>
          <m:t>∈</m:t>
        </m:r>
      </m:oMath>
      <w:r w:rsidR="00384FA8">
        <w:rPr>
          <w:rFonts w:eastAsia="Calibri"/>
        </w:rPr>
        <w:t xml:space="preserve"> [0,0.5]), and inverse temperature (</w:t>
      </w:r>
      <m:oMath>
        <m:r>
          <w:rPr>
            <w:rFonts w:ascii="Cambria Math" w:eastAsia="Calibri" w:hAnsi="Cambria Math"/>
          </w:rPr>
          <m:t>β</m:t>
        </m:r>
      </m:oMath>
      <w:r w:rsidR="00384FA8">
        <w:rPr>
          <w:rFonts w:eastAsia="Calibri"/>
        </w:rPr>
        <w:t xml:space="preserve">). In this architecture, the learning rate dynamically updates based on the social feedback of the Trustee. If the Trustee shares the investment (reward &gt; safe value), </w:t>
      </w:r>
      <m:oMath>
        <m:r>
          <w:rPr>
            <w:rFonts w:ascii="Cambria Math" w:eastAsia="Calibri" w:hAnsi="Cambria Math"/>
          </w:rPr>
          <m:t>α</m:t>
        </m:r>
      </m:oMath>
      <w:r w:rsidR="00384FA8">
        <w:rPr>
          <w:rFonts w:eastAsia="Calibri"/>
        </w:rPr>
        <w:t xml:space="preserve"> increases by </w:t>
      </w:r>
      <m:oMath>
        <m:r>
          <w:rPr>
            <w:rFonts w:ascii="Cambria Math" w:eastAsia="Calibri" w:hAnsi="Cambria Math"/>
          </w:rPr>
          <m:t>ϵ</m:t>
        </m:r>
      </m:oMath>
      <w:r w:rsidR="00384FA8">
        <w:rPr>
          <w:rFonts w:eastAsia="Calibri"/>
        </w:rPr>
        <w:t xml:space="preserve">; if the Trustee keeps the investment, </w:t>
      </w:r>
      <m:oMath>
        <m:r>
          <w:rPr>
            <w:rFonts w:ascii="Cambria Math" w:eastAsia="Calibri" w:hAnsi="Cambria Math"/>
          </w:rPr>
          <m:t>α</m:t>
        </m:r>
      </m:oMath>
      <w:r w:rsidR="00384FA8">
        <w:rPr>
          <w:rFonts w:eastAsia="Calibri"/>
        </w:rPr>
        <w:t xml:space="preserve"> decreases by </w:t>
      </w:r>
      <m:oMath>
        <m:r>
          <w:rPr>
            <w:rFonts w:ascii="Cambria Math" w:eastAsia="Calibri" w:hAnsi="Cambria Math"/>
          </w:rPr>
          <m:t>ϵ</m:t>
        </m:r>
      </m:oMath>
      <w:r w:rsidR="00384FA8">
        <w:rPr>
          <w:rFonts w:eastAsia="Calibri"/>
        </w:rPr>
        <w:t xml:space="preserve"> (bounded strictly between 0.001 and 1.0).</w:t>
      </w:r>
    </w:p>
    <w:p w14:paraId="3FBF4966" w14:textId="77777777" w:rsidR="00384FA8" w:rsidRDefault="00384FA8" w:rsidP="00BE273B">
      <w:pPr>
        <w:rPr>
          <w:rFonts w:eastAsia="Calibri"/>
        </w:rPr>
      </w:pPr>
    </w:p>
    <w:p w14:paraId="5CBCE28E" w14:textId="27BA4CF1" w:rsidR="00384FA8" w:rsidRDefault="00384FA8" w:rsidP="00BE273B">
      <w:pPr>
        <w:rPr>
          <w:rFonts w:eastAsia="Calibri"/>
        </w:rPr>
      </w:pPr>
      <w:r>
        <w:rPr>
          <w:rFonts w:eastAsia="Calibri"/>
        </w:rPr>
        <w:t xml:space="preserve">To determine the most parsimonious fit and account for the difference in model complexity (2 vs. 3 free parameters), models were evaluated using the Bayesian Information Criterion (BIC). </w:t>
      </w:r>
      <w:r w:rsidRPr="00384FA8">
        <w:rPr>
          <w:rFonts w:eastAsia="Calibri"/>
        </w:rPr>
        <w:t>Crucially, model selection was conducted at the group level rather than the individual level to ensure a standardized mathematical framework for all subsequent neuroimaging analyses. We calculated the cumulative sum of BIC scores across all participants for each respective model. The architecture yielding the lower total group-level BIC was selected as the superior, unified computational model for the entire cohort.</w:t>
      </w:r>
    </w:p>
    <w:p w14:paraId="49B19C94" w14:textId="77777777" w:rsidR="00317A12" w:rsidRPr="008704A5" w:rsidRDefault="00317A12" w:rsidP="00BE273B">
      <w:pPr>
        <w:rPr>
          <w:rFonts w:eastAsia="Calibri"/>
        </w:rPr>
      </w:pPr>
    </w:p>
    <w:p w14:paraId="18AFDF20" w14:textId="7DDE4DFE" w:rsidR="0080549D" w:rsidRDefault="0080549D" w:rsidP="0018359F">
      <w:pPr>
        <w:pStyle w:val="Duz3"/>
      </w:pPr>
      <w:r w:rsidRPr="008704A5">
        <w:t>2.</w:t>
      </w:r>
      <w:r w:rsidR="00935BC7">
        <w:t>5</w:t>
      </w:r>
      <w:r w:rsidRPr="008704A5">
        <w:t xml:space="preserve"> Control Analys</w:t>
      </w:r>
      <w:r w:rsidR="00935BC7">
        <w:t>es</w:t>
      </w:r>
    </w:p>
    <w:p w14:paraId="73EB7C09" w14:textId="1704138E" w:rsidR="00935BC7" w:rsidRDefault="00935BC7" w:rsidP="00935BC7">
      <w:pPr>
        <w:pStyle w:val="Duz3"/>
      </w:pPr>
      <w:r w:rsidRPr="00935BC7">
        <w:t>2.5.1 Parameter Recovery</w:t>
      </w:r>
    </w:p>
    <w:p w14:paraId="108EA8F2" w14:textId="3D77F9D1" w:rsidR="00935BC7" w:rsidRDefault="00935BC7" w:rsidP="00935BC7">
      <w:r>
        <w:t>To validate the reliability of our task design and the robustness of our MAP estimation procedure, we conducted a parameter recovery analysis. The objective was to confirm that our optimization pipeline could accurately uncover the true underlying parameters driving behavior within the specific context of our experimental paradigm.</w:t>
      </w:r>
    </w:p>
    <w:p w14:paraId="46ABA453" w14:textId="77777777" w:rsidR="00C5110E" w:rsidRDefault="00C5110E" w:rsidP="00935BC7"/>
    <w:p w14:paraId="4404D6F9" w14:textId="1237DEB5" w:rsidR="00C5110E" w:rsidRDefault="00935BC7" w:rsidP="00935BC7">
      <w:r>
        <w:t xml:space="preserve">We simulated synthetic agents performing the exact 60-trial sequence used in the human experiment, adhering to the same shifting probabilistic reward schedule (80% reward probability in Block 1, 50% in Block 2, and 80% in Block 3). We generated ground-truth parameter combinations using five levels of </w:t>
      </w:r>
      <w:r w:rsidR="00485103">
        <w:t>learning rate within [0,1] bound (</w:t>
      </w:r>
      <m:oMath>
        <m:r>
          <w:rPr>
            <w:rFonts w:ascii="Cambria Math" w:hAnsi="Cambria Math"/>
          </w:rPr>
          <m:t>α</m:t>
        </m:r>
      </m:oMath>
      <w:r w:rsidR="00485103">
        <w:t xml:space="preserve"> </w:t>
      </w:r>
      <m:oMath>
        <m:r>
          <w:rPr>
            <w:rFonts w:ascii="Cambria Math" w:hAnsi="Cambria Math"/>
          </w:rPr>
          <m:t>∈</m:t>
        </m:r>
      </m:oMath>
      <w:r w:rsidR="00485103">
        <w:t xml:space="preserve"> </w:t>
      </w:r>
      <m:oMath>
        <m:r>
          <w:rPr>
            <w:rFonts w:ascii="Cambria Math" w:hAnsi="Cambria Math"/>
          </w:rPr>
          <m:t>{0.1, 0.3, 0.5, 0.7, 0.9}</m:t>
        </m:r>
      </m:oMath>
      <w:r w:rsidR="00485103">
        <w:t xml:space="preserve">) and three levels of inverse temperature </w:t>
      </w:r>
      <m:oMath>
        <m:r>
          <w:rPr>
            <w:rFonts w:ascii="Cambria Math" w:hAnsi="Cambria Math"/>
          </w:rPr>
          <m:t>(β∈</m:t>
        </m:r>
      </m:oMath>
      <w:r w:rsidR="00485103">
        <w:t xml:space="preserve"> </w:t>
      </w:r>
      <m:oMath>
        <m:r>
          <w:rPr>
            <w:rFonts w:ascii="Cambria Math" w:hAnsi="Cambria Math"/>
          </w:rPr>
          <m:t>{1.5, 4.5, 9.0}</m:t>
        </m:r>
      </m:oMath>
      <w:r w:rsidR="00485103">
        <w:t>). For each of the 15 parameter combinations, we simulated 30 independent artificial agents, generating synthetic choice and reward trajectories.</w:t>
      </w:r>
    </w:p>
    <w:p w14:paraId="4D1DA44A" w14:textId="77777777" w:rsidR="00485103" w:rsidRDefault="00485103" w:rsidP="00935BC7"/>
    <w:p w14:paraId="4C38EED8" w14:textId="4E851970" w:rsidR="00485103" w:rsidRPr="00935BC7" w:rsidRDefault="00485103" w:rsidP="00935BC7">
      <w:r>
        <w:t>These synthetic datasets were then fed back to our MAP estimation pipeline, completely blinded to the true generating parameters, to obtain recovered parameter estimates. Recovery success was quantified by calculating the Pearson correlation coefficient (</w:t>
      </w:r>
      <m:oMath>
        <m:r>
          <w:rPr>
            <w:rFonts w:ascii="Cambria Math" w:hAnsi="Cambria Math"/>
          </w:rPr>
          <m:t>ρ</m:t>
        </m:r>
      </m:oMath>
      <w:r>
        <w:t xml:space="preserve">) between the ground-truth parameter vales and the recovered MAP estimates, ensuring that our model does not suffer from parameter unidentifiability or severe trade-offs between </w:t>
      </w:r>
      <m:oMath>
        <m:r>
          <w:rPr>
            <w:rFonts w:ascii="Cambria Math" w:hAnsi="Cambria Math"/>
          </w:rPr>
          <m:t>α</m:t>
        </m:r>
      </m:oMath>
      <w:r>
        <w:t xml:space="preserve"> and </w:t>
      </w:r>
      <m:oMath>
        <m:r>
          <w:rPr>
            <w:rFonts w:ascii="Cambria Math" w:hAnsi="Cambria Math"/>
          </w:rPr>
          <m:t>β</m:t>
        </m:r>
      </m:oMath>
      <w:r>
        <w:t xml:space="preserve">. </w:t>
      </w:r>
    </w:p>
    <w:p w14:paraId="4E41ADCA" w14:textId="77777777" w:rsidR="00485103" w:rsidRDefault="00485103" w:rsidP="00485103"/>
    <w:p w14:paraId="64B012C9" w14:textId="1ABB1F1C" w:rsidR="00AF5426" w:rsidRPr="005144F5" w:rsidRDefault="0080549D" w:rsidP="005144F5">
      <w:pPr>
        <w:pStyle w:val="Duz3"/>
      </w:pPr>
      <w:r w:rsidRPr="00485103">
        <w:t>2.</w:t>
      </w:r>
      <w:r w:rsidR="00485103" w:rsidRPr="00485103">
        <w:t>5</w:t>
      </w:r>
      <w:r w:rsidRPr="00485103">
        <w:t>.</w:t>
      </w:r>
      <w:r w:rsidR="00485103" w:rsidRPr="00485103">
        <w:t>2</w:t>
      </w:r>
      <w:r w:rsidRPr="00485103">
        <w:t xml:space="preserve"> </w:t>
      </w:r>
      <w:r w:rsidR="008704A5" w:rsidRPr="00485103">
        <w:t>Predictive Validity Check</w:t>
      </w:r>
      <w:r w:rsidR="00AF5426" w:rsidRPr="00485103">
        <w:t xml:space="preserve"> and Model Fit</w:t>
      </w:r>
    </w:p>
    <w:p w14:paraId="45CB311F" w14:textId="4B42210D" w:rsidR="0080549D" w:rsidRDefault="00485103" w:rsidP="00BE273B">
      <w:r>
        <w:t xml:space="preserve">To ensure that fitted computational model accurately </w:t>
      </w:r>
      <w:r w:rsidR="008C63DE">
        <w:t>captured the true behavioral dynamics of our participants, we performed the predictive checks. For each participant, we utilized their individually fitted parameters (</w:t>
      </w:r>
      <m:oMath>
        <m:r>
          <w:rPr>
            <w:rFonts w:ascii="Cambria Math" w:hAnsi="Cambria Math"/>
          </w:rPr>
          <m:t>α</m:t>
        </m:r>
        <m:r>
          <w:rPr>
            <w:rFonts w:ascii="Cambria Math" w:hAnsi="Cambria Math"/>
          </w:rPr>
          <m:t xml:space="preserve"> </m:t>
        </m:r>
      </m:oMath>
      <w:r w:rsidR="008C63DE">
        <w:t xml:space="preserve">and </w:t>
      </w:r>
      <m:oMath>
        <m:r>
          <w:rPr>
            <w:rFonts w:ascii="Cambria Math" w:hAnsi="Cambria Math"/>
          </w:rPr>
          <m:t>β</m:t>
        </m:r>
      </m:oMath>
      <w:r w:rsidR="008C63DE">
        <w:t xml:space="preserve">) to simulate 100 independent iterations of the task, exposed to the exact same trial-by-trial reward sequence the human participant experienced. </w:t>
      </w:r>
    </w:p>
    <w:p w14:paraId="5528C50D" w14:textId="77777777" w:rsidR="008C63DE" w:rsidRDefault="008C63DE" w:rsidP="00BE273B"/>
    <w:p w14:paraId="127AB7C8" w14:textId="71D3CC6D" w:rsidR="008C63DE" w:rsidRDefault="008C63DE" w:rsidP="00BE273B">
      <w:r>
        <w:t xml:space="preserve">From these simulations, we computed a 95% Confidence Interval representing the model’s predicted average investment trend. This predicted interval was visually and mathematically compared against the participant’s actual trial-by-trial choices and their modeled latent investment probability trajectories. </w:t>
      </w:r>
    </w:p>
    <w:p w14:paraId="3CCC4016" w14:textId="77777777" w:rsidR="008C63DE" w:rsidRDefault="008C63DE" w:rsidP="00BE273B"/>
    <w:p w14:paraId="3522A37A" w14:textId="27F456C4" w:rsidR="001618A0" w:rsidRDefault="008C63DE" w:rsidP="00BE273B">
      <w:pPr>
        <w:rPr>
          <w:rFonts w:eastAsia="Calibri"/>
        </w:rPr>
      </w:pPr>
      <w:r>
        <w:t>Finally, to quantitively assess absolute model fit, we calculated McFadden’s Pseudo-R</w:t>
      </w:r>
      <w:proofErr w:type="gramStart"/>
      <w:r w:rsidRPr="008C63DE">
        <w:rPr>
          <w:vertAlign w:val="superscript"/>
        </w:rPr>
        <w:t>2</w:t>
      </w:r>
      <w:r>
        <w:rPr>
          <w:vertAlign w:val="superscript"/>
        </w:rPr>
        <w:t xml:space="preserve">  </w:t>
      </w:r>
      <w:r>
        <w:rPr>
          <w:rFonts w:eastAsia="Calibri"/>
        </w:rPr>
        <w:t>for</w:t>
      </w:r>
      <w:proofErr w:type="gramEnd"/>
      <w:r>
        <w:rPr>
          <w:rFonts w:eastAsia="Calibri"/>
        </w:rPr>
        <w:t xml:space="preserve"> each participant</w:t>
      </w:r>
      <w:r w:rsidR="001618A0">
        <w:rPr>
          <w:rFonts w:eastAsia="Calibri"/>
        </w:rPr>
        <w:t>. This was achieved by comparing the negative log-likelihood of the optimized RL model (excluding priors to assess pure data fit) against a baseline chance model representing completely random choice behavior (</w:t>
      </w:r>
      <m:oMath>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investment</m:t>
            </m:r>
          </m:sub>
        </m:sSub>
        <m:r>
          <w:rPr>
            <w:rFonts w:ascii="Cambria Math" w:eastAsia="Calibri" w:hAnsi="Cambria Math"/>
          </w:rPr>
          <m:t xml:space="preserve"> = 0.</m:t>
        </m:r>
      </m:oMath>
      <w:r w:rsidR="001618A0" w:rsidRPr="001618A0">
        <w:rPr>
          <w:rFonts w:eastAsia="Calibri"/>
        </w:rPr>
        <w:t>5</w:t>
      </w:r>
      <w:r w:rsidR="001618A0">
        <w:rPr>
          <w:rFonts w:eastAsia="Calibri"/>
        </w:rPr>
        <w:t xml:space="preserve"> for all trials). The Pseudo-R</w:t>
      </w:r>
      <w:r w:rsidR="001618A0" w:rsidRPr="001618A0">
        <w:rPr>
          <w:rFonts w:eastAsia="Calibri"/>
          <w:vertAlign w:val="superscript"/>
        </w:rPr>
        <w:t>2</w:t>
      </w:r>
      <w:r w:rsidR="001618A0">
        <w:rPr>
          <w:rFonts w:eastAsia="Calibri"/>
        </w:rPr>
        <w:t xml:space="preserve"> metric allowed us to verify the learning model provided a fundamentally superior explanation of the participant’s behavior compared to a non-learning, stochastic baseline. </w:t>
      </w:r>
    </w:p>
    <w:p w14:paraId="402F7E87" w14:textId="77777777" w:rsidR="008D68DF" w:rsidRDefault="008D68DF" w:rsidP="00BE273B">
      <w:pPr>
        <w:rPr>
          <w:rFonts w:eastAsia="Calibri"/>
        </w:rPr>
      </w:pPr>
    </w:p>
    <w:p w14:paraId="2D4F8CC3" w14:textId="096D6FFB" w:rsidR="008D68DF" w:rsidRPr="008704A5" w:rsidRDefault="008D68DF" w:rsidP="008D68DF">
      <w:pPr>
        <w:pStyle w:val="Duz3"/>
      </w:pPr>
      <w:r>
        <w:t xml:space="preserve">2.6 </w:t>
      </w:r>
      <w:r>
        <w:t xml:space="preserve">Computational Parameter Comparison </w:t>
      </w:r>
    </w:p>
    <w:p w14:paraId="5FD7EB28" w14:textId="3952161F" w:rsidR="008D68DF" w:rsidRPr="008704A5" w:rsidRDefault="008D68DF" w:rsidP="008D68DF">
      <w:pPr>
        <w:rPr>
          <w:rFonts w:eastAsia="Calibri"/>
        </w:rPr>
      </w:pPr>
      <w:r w:rsidRPr="008704A5">
        <w:rPr>
          <w:rFonts w:eastAsia="Calibri"/>
        </w:rPr>
        <w:t xml:space="preserve">Group differences in </w:t>
      </w:r>
      <m:oMath>
        <m:r>
          <w:rPr>
            <w:rFonts w:ascii="Cambria Math" w:eastAsia="Calibri" w:hAnsi="Cambria Math"/>
          </w:rPr>
          <m:t>α</m:t>
        </m:r>
      </m:oMath>
      <w:r w:rsidRPr="008704A5">
        <w:rPr>
          <w:rFonts w:eastAsia="Calibri"/>
        </w:rPr>
        <w:t xml:space="preserve">, </w:t>
      </w:r>
      <m:oMath>
        <m:r>
          <w:rPr>
            <w:rFonts w:ascii="Cambria Math" w:eastAsia="Calibri" w:hAnsi="Cambria Math"/>
          </w:rPr>
          <m:t>β</m:t>
        </m:r>
      </m:oMath>
      <w:r w:rsidRPr="008704A5">
        <w:rPr>
          <w:rFonts w:eastAsia="Calibri"/>
        </w:rPr>
        <w:t>, Pseudo-R</w:t>
      </w:r>
      <w:r w:rsidRPr="008704A5">
        <w:rPr>
          <w:rFonts w:eastAsia="Calibri"/>
          <w:vertAlign w:val="superscript"/>
        </w:rPr>
        <w:t>2</w:t>
      </w:r>
      <w:r w:rsidRPr="008704A5">
        <w:rPr>
          <w:rFonts w:eastAsia="Calibri"/>
        </w:rPr>
        <w:t xml:space="preserve"> were assessed using non-parametric permutation tests (10.000 samples) on medians to account for the non-normal distribution of the estimated parameters. </w:t>
      </w:r>
      <w:r w:rsidR="00C5110E" w:rsidRPr="00C5110E">
        <w:rPr>
          <w:rFonts w:eastAsia="Calibri"/>
        </w:rPr>
        <w:t>To evaluate trial-by-trial prediction error magnitudes, absolute prediction errors (|PE|) were analyzed using a Linear Mixed-Effects Model (LMM). The model included fixed effects for Group, Task Phase, their interaction, and covariates for age and sex, with a random intercept for subject to account for repeated measures. Model assumptions, including normality of residuals and homoscedasticity, were verified via visual inspection of Q-Q and residual-versus-fitted plots.</w:t>
      </w:r>
    </w:p>
    <w:p w14:paraId="57DF51BC" w14:textId="77777777" w:rsidR="008D68DF" w:rsidRDefault="008D68DF" w:rsidP="00BE273B">
      <w:pPr>
        <w:rPr>
          <w:rFonts w:eastAsia="Calibri"/>
        </w:rPr>
      </w:pPr>
    </w:p>
    <w:p w14:paraId="5171053F" w14:textId="77777777" w:rsidR="00A24B64" w:rsidRDefault="00A24B64" w:rsidP="00BE273B">
      <w:pPr>
        <w:rPr>
          <w:rFonts w:eastAsia="Calibri"/>
        </w:rPr>
      </w:pPr>
    </w:p>
    <w:p w14:paraId="553E03FB" w14:textId="79AA7F5A" w:rsidR="00231171" w:rsidRDefault="00231171" w:rsidP="00231171">
      <w:pPr>
        <w:pStyle w:val="Duz2"/>
        <w:rPr>
          <w:rFonts w:eastAsia="Calibri"/>
        </w:rPr>
      </w:pPr>
      <w:r>
        <w:rPr>
          <w:rFonts w:eastAsia="Calibri"/>
        </w:rPr>
        <w:t>2.</w:t>
      </w:r>
      <w:r w:rsidR="008D68DF">
        <w:rPr>
          <w:rFonts w:eastAsia="Calibri"/>
        </w:rPr>
        <w:t>7</w:t>
      </w:r>
      <w:r>
        <w:rPr>
          <w:rFonts w:eastAsia="Calibri"/>
        </w:rPr>
        <w:t xml:space="preserve"> fMRI Data Acquisition and Preprocessing </w:t>
      </w:r>
    </w:p>
    <w:p w14:paraId="0108170A" w14:textId="34F78963" w:rsidR="00231171" w:rsidRDefault="00231171" w:rsidP="00BE273B">
      <w:pPr>
        <w:rPr>
          <w:rFonts w:eastAsia="Calibri"/>
        </w:rPr>
      </w:pPr>
      <w:r>
        <w:rPr>
          <w:rFonts w:eastAsia="Calibri"/>
        </w:rPr>
        <w:t xml:space="preserve">fMRI data were acquired using a 3.0 Tesla Siemens </w:t>
      </w:r>
      <w:proofErr w:type="spellStart"/>
      <w:r>
        <w:rPr>
          <w:rFonts w:eastAsia="Calibri"/>
        </w:rPr>
        <w:t>Magnetom</w:t>
      </w:r>
      <w:proofErr w:type="spellEnd"/>
      <w:r>
        <w:rPr>
          <w:rFonts w:eastAsia="Calibri"/>
        </w:rPr>
        <w:t xml:space="preserve"> Prisma scanner (TR=3000 </w:t>
      </w:r>
      <w:proofErr w:type="spellStart"/>
      <w:r>
        <w:rPr>
          <w:rFonts w:eastAsia="Calibri"/>
        </w:rPr>
        <w:t>ms</w:t>
      </w:r>
      <w:proofErr w:type="spellEnd"/>
      <w:r>
        <w:rPr>
          <w:rFonts w:eastAsia="Calibri"/>
        </w:rPr>
        <w:t>). Functional data preprocessing and analysis conducted using SPM (ref). Standard preprocessing steps including slice-timing correction, spatial realignment, co-registration to high resolution T1-</w:t>
      </w:r>
      <w:r>
        <w:rPr>
          <w:rFonts w:eastAsia="Calibri"/>
        </w:rPr>
        <w:lastRenderedPageBreak/>
        <w:t>weighted anatomical image, spatial normalization to standard MNI space (resampled to 2x2x2 mm3), and spatial smoothing using 8 mm FWHM isotropic Gaussian kernel. Comprehensive details regarding the MRI acquisition parameters are provided in the Supplementary Material.</w:t>
      </w:r>
    </w:p>
    <w:p w14:paraId="63ED7F9A" w14:textId="77777777" w:rsidR="008D68DF" w:rsidRDefault="008D68DF" w:rsidP="00BE273B">
      <w:pPr>
        <w:rPr>
          <w:rFonts w:eastAsia="Calibri"/>
        </w:rPr>
      </w:pPr>
    </w:p>
    <w:p w14:paraId="5C50C1C8" w14:textId="0AA602FE" w:rsidR="008D68DF" w:rsidRDefault="008D68DF" w:rsidP="008D68DF">
      <w:pPr>
        <w:pStyle w:val="Duz2"/>
        <w:rPr>
          <w:rFonts w:eastAsia="Calibri"/>
        </w:rPr>
      </w:pPr>
      <w:r>
        <w:rPr>
          <w:rFonts w:eastAsia="Calibri"/>
        </w:rPr>
        <w:t>2.8 fMRI Statistical Analysis</w:t>
      </w:r>
    </w:p>
    <w:p w14:paraId="6C84DCF2" w14:textId="77777777" w:rsidR="008D68DF" w:rsidRDefault="008D68DF" w:rsidP="00BE273B">
      <w:pPr>
        <w:rPr>
          <w:rFonts w:eastAsia="Calibri"/>
        </w:rPr>
      </w:pPr>
    </w:p>
    <w:p w14:paraId="38397E30" w14:textId="6AA71D92" w:rsidR="008D68DF" w:rsidRDefault="008D68DF" w:rsidP="00BE273B">
      <w:pPr>
        <w:rPr>
          <w:rFonts w:eastAsia="Calibri"/>
        </w:rPr>
      </w:pPr>
      <w:r>
        <w:rPr>
          <w:rFonts w:eastAsia="Calibri"/>
        </w:rPr>
        <w:t xml:space="preserve">First-level General Linear Models (GLM) captured task-related BOLD responses. Crucially, trial-by-trial Prediction Errors (PE) were entered as an orthogonalized parametric modulator on the feedback onset to isolate computational learning signals. Second-level analyses evaluated group differences (Healthy Controls vs Schizophrenia) via two-sample t-tests. Whole-brain statistical maps were </w:t>
      </w:r>
      <w:proofErr w:type="spellStart"/>
      <w:r>
        <w:rPr>
          <w:rFonts w:eastAsia="Calibri"/>
        </w:rPr>
        <w:t>thresholded</w:t>
      </w:r>
      <w:proofErr w:type="spellEnd"/>
      <w:r>
        <w:rPr>
          <w:rFonts w:eastAsia="Calibri"/>
        </w:rPr>
        <w:t xml:space="preserve"> at an uncorrected p &lt; .001, followed by cluster-level FEW correction (</w:t>
      </w:r>
      <w:proofErr w:type="spellStart"/>
      <w:r>
        <w:rPr>
          <w:rFonts w:eastAsia="Calibri"/>
        </w:rPr>
        <w:t>p_FWE</w:t>
      </w:r>
      <w:proofErr w:type="spellEnd"/>
      <w:r>
        <w:rPr>
          <w:rFonts w:eastAsia="Calibri"/>
        </w:rPr>
        <w:t xml:space="preserve"> &lt; 0.05). Complete GLM construction and design matrix details are provided in the Supplementary Material. </w:t>
      </w:r>
    </w:p>
    <w:p w14:paraId="5FD0B30D" w14:textId="77777777" w:rsidR="00A24B64" w:rsidRDefault="00A24B64" w:rsidP="00BE273B">
      <w:pPr>
        <w:rPr>
          <w:rFonts w:eastAsia="Calibri"/>
        </w:rPr>
      </w:pPr>
    </w:p>
    <w:p w14:paraId="7C27EF39" w14:textId="77777777" w:rsidR="001618A0" w:rsidRPr="001618A0" w:rsidRDefault="001618A0" w:rsidP="00BE273B">
      <w:pPr>
        <w:rPr>
          <w:rFonts w:eastAsia="Calibri"/>
        </w:rPr>
      </w:pPr>
    </w:p>
    <w:p w14:paraId="6A0E381B" w14:textId="77777777" w:rsidR="008D27A3" w:rsidRPr="008704A5" w:rsidRDefault="008D27A3" w:rsidP="00BE273B">
      <w:pPr>
        <w:rPr>
          <w:b/>
          <w:bCs/>
        </w:rPr>
      </w:pPr>
    </w:p>
    <w:p w14:paraId="0CE41001" w14:textId="27311111" w:rsidR="00CC7636" w:rsidRPr="002A4F30" w:rsidRDefault="00CC7636">
      <w:pPr>
        <w:rPr>
          <w:b/>
          <w:bCs/>
          <w:sz w:val="28"/>
          <w:szCs w:val="28"/>
        </w:rPr>
      </w:pPr>
    </w:p>
    <w:sectPr w:rsidR="00CC7636" w:rsidRPr="002A4F30" w:rsidSect="00A20F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E8"/>
    <w:rsid w:val="000125B0"/>
    <w:rsid w:val="0003582B"/>
    <w:rsid w:val="000A7586"/>
    <w:rsid w:val="000B0BB1"/>
    <w:rsid w:val="000D2339"/>
    <w:rsid w:val="000D2DF9"/>
    <w:rsid w:val="000D76FE"/>
    <w:rsid w:val="000E70CB"/>
    <w:rsid w:val="000F2878"/>
    <w:rsid w:val="00121F92"/>
    <w:rsid w:val="001417A3"/>
    <w:rsid w:val="00155D8D"/>
    <w:rsid w:val="001618A0"/>
    <w:rsid w:val="00161D69"/>
    <w:rsid w:val="0018359F"/>
    <w:rsid w:val="00187A72"/>
    <w:rsid w:val="001B2F5F"/>
    <w:rsid w:val="0021047B"/>
    <w:rsid w:val="00210F61"/>
    <w:rsid w:val="00231171"/>
    <w:rsid w:val="0023208F"/>
    <w:rsid w:val="0027086F"/>
    <w:rsid w:val="002910F2"/>
    <w:rsid w:val="002A4F30"/>
    <w:rsid w:val="002B7F7D"/>
    <w:rsid w:val="002C51CF"/>
    <w:rsid w:val="002D04F7"/>
    <w:rsid w:val="002E2FCD"/>
    <w:rsid w:val="002F0FE7"/>
    <w:rsid w:val="00313F44"/>
    <w:rsid w:val="00315762"/>
    <w:rsid w:val="00317A12"/>
    <w:rsid w:val="00366218"/>
    <w:rsid w:val="00380480"/>
    <w:rsid w:val="00384FA8"/>
    <w:rsid w:val="003A74AE"/>
    <w:rsid w:val="003B2ECB"/>
    <w:rsid w:val="003B6DF3"/>
    <w:rsid w:val="00457D16"/>
    <w:rsid w:val="00485103"/>
    <w:rsid w:val="004F56E1"/>
    <w:rsid w:val="005009AC"/>
    <w:rsid w:val="005144F5"/>
    <w:rsid w:val="0057150A"/>
    <w:rsid w:val="005776AD"/>
    <w:rsid w:val="005B43AB"/>
    <w:rsid w:val="005D36B4"/>
    <w:rsid w:val="005D6411"/>
    <w:rsid w:val="006018D8"/>
    <w:rsid w:val="00696802"/>
    <w:rsid w:val="006C61E4"/>
    <w:rsid w:val="006D3295"/>
    <w:rsid w:val="006F6CCA"/>
    <w:rsid w:val="00720856"/>
    <w:rsid w:val="00730C85"/>
    <w:rsid w:val="00733E4C"/>
    <w:rsid w:val="00760A98"/>
    <w:rsid w:val="0078084A"/>
    <w:rsid w:val="007C0199"/>
    <w:rsid w:val="0080549D"/>
    <w:rsid w:val="00806EC3"/>
    <w:rsid w:val="00841B7F"/>
    <w:rsid w:val="008474AB"/>
    <w:rsid w:val="00850ADE"/>
    <w:rsid w:val="008704A5"/>
    <w:rsid w:val="00876D82"/>
    <w:rsid w:val="00885E10"/>
    <w:rsid w:val="008C63DE"/>
    <w:rsid w:val="008C770A"/>
    <w:rsid w:val="008D27A3"/>
    <w:rsid w:val="008D68DF"/>
    <w:rsid w:val="00925C81"/>
    <w:rsid w:val="00925CFC"/>
    <w:rsid w:val="00934AD0"/>
    <w:rsid w:val="00935BC7"/>
    <w:rsid w:val="009A4B76"/>
    <w:rsid w:val="009A5CEC"/>
    <w:rsid w:val="00A05CB6"/>
    <w:rsid w:val="00A20F2D"/>
    <w:rsid w:val="00A24B64"/>
    <w:rsid w:val="00A5736C"/>
    <w:rsid w:val="00A74C0F"/>
    <w:rsid w:val="00AF3EBC"/>
    <w:rsid w:val="00AF5426"/>
    <w:rsid w:val="00B32E06"/>
    <w:rsid w:val="00BA211A"/>
    <w:rsid w:val="00BD638E"/>
    <w:rsid w:val="00BE273B"/>
    <w:rsid w:val="00BE4DE3"/>
    <w:rsid w:val="00C24CA7"/>
    <w:rsid w:val="00C5110E"/>
    <w:rsid w:val="00CC7636"/>
    <w:rsid w:val="00CF13DA"/>
    <w:rsid w:val="00D339A4"/>
    <w:rsid w:val="00D41B8C"/>
    <w:rsid w:val="00D50240"/>
    <w:rsid w:val="00D62CAF"/>
    <w:rsid w:val="00D8199B"/>
    <w:rsid w:val="00D90A9C"/>
    <w:rsid w:val="00DC013A"/>
    <w:rsid w:val="00DC4D8A"/>
    <w:rsid w:val="00DE5198"/>
    <w:rsid w:val="00DF5746"/>
    <w:rsid w:val="00E16B9D"/>
    <w:rsid w:val="00E27AD8"/>
    <w:rsid w:val="00E4545F"/>
    <w:rsid w:val="00E46B70"/>
    <w:rsid w:val="00E51E06"/>
    <w:rsid w:val="00E8417B"/>
    <w:rsid w:val="00E855D8"/>
    <w:rsid w:val="00E862DB"/>
    <w:rsid w:val="00EC309A"/>
    <w:rsid w:val="00ED72E8"/>
    <w:rsid w:val="00F33DA7"/>
    <w:rsid w:val="00F867C2"/>
    <w:rsid w:val="00F97C5C"/>
    <w:rsid w:val="00FA48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4ADAB"/>
  <w15:chartTrackingRefBased/>
  <w15:docId w15:val="{D9982CFF-3312-4431-940E-FC64DCB6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32"/>
    <w:pPr>
      <w:spacing w:after="0" w:line="276" w:lineRule="auto"/>
    </w:pPr>
    <w:rPr>
      <w:rFonts w:ascii="Arial" w:eastAsia="Arial" w:hAnsi="Arial" w:cs="Arial"/>
      <w:sz w:val="22"/>
      <w:szCs w:val="22"/>
      <w14:ligatures w14:val="none"/>
    </w:rPr>
  </w:style>
  <w:style w:type="paragraph" w:styleId="Heading1">
    <w:name w:val="heading 1"/>
    <w:basedOn w:val="Normal"/>
    <w:next w:val="Normal"/>
    <w:link w:val="Heading1Char"/>
    <w:uiPriority w:val="9"/>
    <w:qFormat/>
    <w:rsid w:val="00ED72E8"/>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14:ligatures w14:val="standardContextual"/>
    </w:rPr>
  </w:style>
  <w:style w:type="paragraph" w:styleId="Heading2">
    <w:name w:val="heading 2"/>
    <w:basedOn w:val="Normal"/>
    <w:next w:val="Normal"/>
    <w:link w:val="Heading2Char"/>
    <w:uiPriority w:val="9"/>
    <w:unhideWhenUsed/>
    <w:qFormat/>
    <w:rsid w:val="00ED72E8"/>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ED72E8"/>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ED72E8"/>
    <w:pPr>
      <w:keepNext/>
      <w:keepLines/>
      <w:spacing w:before="80" w:after="40" w:line="278" w:lineRule="auto"/>
      <w:outlineLvl w:val="3"/>
    </w:pPr>
    <w:rPr>
      <w:rFonts w:asciiTheme="minorHAnsi" w:eastAsiaTheme="majorEastAsia" w:hAnsiTheme="minorHAnsi" w:cstheme="majorBidi"/>
      <w:i/>
      <w:iCs/>
      <w:color w:val="2F5496" w:themeColor="accent1" w:themeShade="BF"/>
      <w:sz w:val="24"/>
      <w:szCs w:val="24"/>
      <w14:ligatures w14:val="standardContextual"/>
    </w:rPr>
  </w:style>
  <w:style w:type="paragraph" w:styleId="Heading5">
    <w:name w:val="heading 5"/>
    <w:basedOn w:val="Normal"/>
    <w:next w:val="Normal"/>
    <w:link w:val="Heading5Char"/>
    <w:uiPriority w:val="9"/>
    <w:semiHidden/>
    <w:unhideWhenUsed/>
    <w:qFormat/>
    <w:rsid w:val="00ED72E8"/>
    <w:pPr>
      <w:keepNext/>
      <w:keepLines/>
      <w:spacing w:before="80" w:after="40" w:line="278" w:lineRule="auto"/>
      <w:outlineLvl w:val="4"/>
    </w:pPr>
    <w:rPr>
      <w:rFonts w:asciiTheme="minorHAnsi" w:eastAsiaTheme="majorEastAsia" w:hAnsiTheme="minorHAnsi" w:cstheme="majorBidi"/>
      <w:color w:val="2F5496" w:themeColor="accent1" w:themeShade="BF"/>
      <w:sz w:val="24"/>
      <w:szCs w:val="24"/>
      <w14:ligatures w14:val="standardContextual"/>
    </w:rPr>
  </w:style>
  <w:style w:type="paragraph" w:styleId="Heading6">
    <w:name w:val="heading 6"/>
    <w:basedOn w:val="Normal"/>
    <w:next w:val="Normal"/>
    <w:link w:val="Heading6Char"/>
    <w:uiPriority w:val="9"/>
    <w:semiHidden/>
    <w:unhideWhenUsed/>
    <w:qFormat/>
    <w:rsid w:val="00ED72E8"/>
    <w:pPr>
      <w:keepNext/>
      <w:keepLines/>
      <w:spacing w:before="40" w:line="278" w:lineRule="auto"/>
      <w:outlineLvl w:val="5"/>
    </w:pPr>
    <w:rPr>
      <w:rFonts w:asciiTheme="minorHAnsi" w:eastAsiaTheme="majorEastAsia" w:hAnsiTheme="minorHAnsi" w:cstheme="majorBidi"/>
      <w:i/>
      <w:iCs/>
      <w:color w:val="595959" w:themeColor="text1" w:themeTint="A6"/>
      <w:sz w:val="24"/>
      <w:szCs w:val="24"/>
      <w14:ligatures w14:val="standardContextual"/>
    </w:rPr>
  </w:style>
  <w:style w:type="paragraph" w:styleId="Heading7">
    <w:name w:val="heading 7"/>
    <w:basedOn w:val="Normal"/>
    <w:next w:val="Normal"/>
    <w:link w:val="Heading7Char"/>
    <w:uiPriority w:val="9"/>
    <w:semiHidden/>
    <w:unhideWhenUsed/>
    <w:qFormat/>
    <w:rsid w:val="00ED72E8"/>
    <w:pPr>
      <w:keepNext/>
      <w:keepLines/>
      <w:spacing w:before="40" w:line="278" w:lineRule="auto"/>
      <w:outlineLvl w:val="6"/>
    </w:pPr>
    <w:rPr>
      <w:rFonts w:asciiTheme="minorHAnsi" w:eastAsiaTheme="majorEastAsia" w:hAnsiTheme="minorHAnsi" w:cstheme="majorBidi"/>
      <w:color w:val="595959" w:themeColor="text1" w:themeTint="A6"/>
      <w:sz w:val="24"/>
      <w:szCs w:val="24"/>
      <w14:ligatures w14:val="standardContextual"/>
    </w:rPr>
  </w:style>
  <w:style w:type="paragraph" w:styleId="Heading8">
    <w:name w:val="heading 8"/>
    <w:basedOn w:val="Normal"/>
    <w:next w:val="Normal"/>
    <w:link w:val="Heading8Char"/>
    <w:uiPriority w:val="9"/>
    <w:semiHidden/>
    <w:unhideWhenUsed/>
    <w:qFormat/>
    <w:rsid w:val="00ED72E8"/>
    <w:pPr>
      <w:keepNext/>
      <w:keepLines/>
      <w:spacing w:line="278" w:lineRule="auto"/>
      <w:outlineLvl w:val="7"/>
    </w:pPr>
    <w:rPr>
      <w:rFonts w:asciiTheme="minorHAnsi" w:eastAsiaTheme="majorEastAsia" w:hAnsiTheme="minorHAnsi" w:cstheme="majorBidi"/>
      <w:i/>
      <w:iCs/>
      <w:color w:val="272727" w:themeColor="text1" w:themeTint="D8"/>
      <w:sz w:val="24"/>
      <w:szCs w:val="24"/>
      <w14:ligatures w14:val="standardContextual"/>
    </w:rPr>
  </w:style>
  <w:style w:type="paragraph" w:styleId="Heading9">
    <w:name w:val="heading 9"/>
    <w:basedOn w:val="Normal"/>
    <w:next w:val="Normal"/>
    <w:link w:val="Heading9Char"/>
    <w:uiPriority w:val="9"/>
    <w:semiHidden/>
    <w:unhideWhenUsed/>
    <w:qFormat/>
    <w:rsid w:val="00ED72E8"/>
    <w:pPr>
      <w:keepNext/>
      <w:keepLines/>
      <w:spacing w:line="278" w:lineRule="auto"/>
      <w:outlineLvl w:val="8"/>
    </w:pPr>
    <w:rPr>
      <w:rFonts w:asciiTheme="minorHAnsi" w:eastAsiaTheme="majorEastAsia" w:hAnsiTheme="minorHAnsi" w:cstheme="majorBidi"/>
      <w:color w:val="272727" w:themeColor="text1" w:themeTint="D8"/>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2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72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2E8"/>
    <w:rPr>
      <w:rFonts w:eastAsiaTheme="majorEastAsia" w:cstheme="majorBidi"/>
      <w:color w:val="272727" w:themeColor="text1" w:themeTint="D8"/>
    </w:rPr>
  </w:style>
  <w:style w:type="paragraph" w:styleId="Title">
    <w:name w:val="Title"/>
    <w:basedOn w:val="Normal"/>
    <w:next w:val="Normal"/>
    <w:link w:val="TitleChar"/>
    <w:uiPriority w:val="10"/>
    <w:qFormat/>
    <w:rsid w:val="00ED72E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D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2E8"/>
    <w:pPr>
      <w:numPr>
        <w:ilvl w:val="1"/>
      </w:numPr>
      <w:spacing w:after="160" w:line="278"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ED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2E8"/>
    <w:pPr>
      <w:spacing w:before="160" w:after="160" w:line="278" w:lineRule="auto"/>
      <w:jc w:val="center"/>
    </w:pPr>
    <w:rPr>
      <w:rFonts w:asciiTheme="minorHAnsi" w:eastAsiaTheme="minorHAnsi" w:hAnsiTheme="minorHAnsi" w:cstheme="minorBidi"/>
      <w:i/>
      <w:iCs/>
      <w:color w:val="404040" w:themeColor="text1" w:themeTint="BF"/>
      <w:sz w:val="24"/>
      <w:szCs w:val="24"/>
      <w14:ligatures w14:val="standardContextual"/>
    </w:rPr>
  </w:style>
  <w:style w:type="character" w:customStyle="1" w:styleId="QuoteChar">
    <w:name w:val="Quote Char"/>
    <w:basedOn w:val="DefaultParagraphFont"/>
    <w:link w:val="Quote"/>
    <w:uiPriority w:val="29"/>
    <w:rsid w:val="00ED72E8"/>
    <w:rPr>
      <w:i/>
      <w:iCs/>
      <w:color w:val="404040" w:themeColor="text1" w:themeTint="BF"/>
    </w:rPr>
  </w:style>
  <w:style w:type="paragraph" w:styleId="ListParagraph">
    <w:name w:val="List Paragraph"/>
    <w:basedOn w:val="Normal"/>
    <w:uiPriority w:val="34"/>
    <w:qFormat/>
    <w:rsid w:val="00ED72E8"/>
    <w:pPr>
      <w:spacing w:after="160" w:line="278" w:lineRule="auto"/>
      <w:ind w:left="720"/>
      <w:contextualSpacing/>
    </w:pPr>
    <w:rPr>
      <w:rFonts w:asciiTheme="minorHAnsi" w:eastAsiaTheme="minorHAnsi" w:hAnsiTheme="minorHAnsi" w:cstheme="minorBidi"/>
      <w:sz w:val="24"/>
      <w:szCs w:val="24"/>
      <w14:ligatures w14:val="standardContextual"/>
    </w:rPr>
  </w:style>
  <w:style w:type="character" w:styleId="IntenseEmphasis">
    <w:name w:val="Intense Emphasis"/>
    <w:basedOn w:val="DefaultParagraphFont"/>
    <w:uiPriority w:val="21"/>
    <w:qFormat/>
    <w:rsid w:val="00ED72E8"/>
    <w:rPr>
      <w:i/>
      <w:iCs/>
      <w:color w:val="2F5496" w:themeColor="accent1" w:themeShade="BF"/>
    </w:rPr>
  </w:style>
  <w:style w:type="paragraph" w:styleId="IntenseQuote">
    <w:name w:val="Intense Quote"/>
    <w:basedOn w:val="Normal"/>
    <w:next w:val="Normal"/>
    <w:link w:val="IntenseQuoteChar"/>
    <w:uiPriority w:val="30"/>
    <w:qFormat/>
    <w:rsid w:val="00ED72E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szCs w:val="24"/>
      <w14:ligatures w14:val="standardContextual"/>
    </w:rPr>
  </w:style>
  <w:style w:type="character" w:customStyle="1" w:styleId="IntenseQuoteChar">
    <w:name w:val="Intense Quote Char"/>
    <w:basedOn w:val="DefaultParagraphFont"/>
    <w:link w:val="IntenseQuote"/>
    <w:uiPriority w:val="30"/>
    <w:rsid w:val="00ED72E8"/>
    <w:rPr>
      <w:i/>
      <w:iCs/>
      <w:color w:val="2F5496" w:themeColor="accent1" w:themeShade="BF"/>
    </w:rPr>
  </w:style>
  <w:style w:type="character" w:styleId="IntenseReference">
    <w:name w:val="Intense Reference"/>
    <w:basedOn w:val="DefaultParagraphFont"/>
    <w:uiPriority w:val="32"/>
    <w:qFormat/>
    <w:rsid w:val="00ED72E8"/>
    <w:rPr>
      <w:b/>
      <w:bCs/>
      <w:smallCaps/>
      <w:color w:val="2F5496" w:themeColor="accent1" w:themeShade="BF"/>
      <w:spacing w:val="5"/>
    </w:rPr>
  </w:style>
  <w:style w:type="character" w:styleId="PlaceholderText">
    <w:name w:val="Placeholder Text"/>
    <w:basedOn w:val="DefaultParagraphFont"/>
    <w:uiPriority w:val="99"/>
    <w:semiHidden/>
    <w:rsid w:val="001B2F5F"/>
    <w:rPr>
      <w:color w:val="666666"/>
    </w:rPr>
  </w:style>
  <w:style w:type="paragraph" w:customStyle="1" w:styleId="Duz2">
    <w:name w:val="Duz_2"/>
    <w:basedOn w:val="Heading2"/>
    <w:qFormat/>
    <w:rsid w:val="00BD638E"/>
    <w:rPr>
      <w:rFonts w:ascii="Helvetica Neue" w:hAnsi="Helvetica Neue"/>
      <w:b/>
      <w:color w:val="000000" w:themeColor="text1"/>
    </w:rPr>
  </w:style>
  <w:style w:type="paragraph" w:customStyle="1" w:styleId="Duz3">
    <w:name w:val="Duz_3"/>
    <w:basedOn w:val="Heading3"/>
    <w:link w:val="Duz3Char"/>
    <w:qFormat/>
    <w:rsid w:val="00BD638E"/>
    <w:rPr>
      <w:rFonts w:ascii="Helvetica Neue" w:eastAsia="Calibri" w:hAnsi="Helvetica Neue"/>
      <w:b/>
      <w:bCs/>
      <w:color w:val="000000" w:themeColor="text1"/>
    </w:rPr>
  </w:style>
  <w:style w:type="character" w:customStyle="1" w:styleId="Duz3Char">
    <w:name w:val="Duz_3 Char"/>
    <w:basedOn w:val="Heading3Char"/>
    <w:link w:val="Duz3"/>
    <w:rsid w:val="00BD638E"/>
    <w:rPr>
      <w:rFonts w:ascii="Helvetica Neue" w:eastAsia="Calibri" w:hAnsi="Helvetica Neue" w:cstheme="majorBidi"/>
      <w:b/>
      <w:bCs/>
      <w:color w:val="000000" w:themeColor="text1"/>
      <w:sz w:val="28"/>
      <w:szCs w:val="28"/>
    </w:rPr>
  </w:style>
  <w:style w:type="paragraph" w:customStyle="1" w:styleId="Duz4">
    <w:name w:val="Duz_4"/>
    <w:basedOn w:val="Heading4"/>
    <w:qFormat/>
    <w:rsid w:val="005D36B4"/>
    <w:rPr>
      <w:rFonts w:ascii="Helvetica Neue" w:eastAsia="Calibri" w:hAnsi="Helvetica Neue"/>
      <w:b/>
      <w:bCs/>
      <w:color w:val="000000" w:themeColor="text1"/>
    </w:rPr>
  </w:style>
  <w:style w:type="paragraph" w:customStyle="1" w:styleId="Duz1">
    <w:name w:val="Duz_1"/>
    <w:basedOn w:val="Heading1"/>
    <w:qFormat/>
    <w:rsid w:val="001618A0"/>
    <w:rPr>
      <w:rFonts w:ascii="Helvetica Neue" w:hAnsi="Helvetica Neue"/>
      <w:b/>
      <w:bCs/>
      <w:color w:val="000000" w:themeColor="text1"/>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6</Pages>
  <Words>2322</Words>
  <Characters>13238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87</cp:revision>
  <dcterms:created xsi:type="dcterms:W3CDTF">2026-03-08T13:03:00Z</dcterms:created>
  <dcterms:modified xsi:type="dcterms:W3CDTF">2026-04-06T20:40:00Z</dcterms:modified>
</cp:coreProperties>
</file>