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D12AEB" w14:textId="58CBF6CF" w:rsidR="00FA2CF0" w:rsidRDefault="00FA2CF0">
      <w:pPr>
        <w:rPr>
          <w:lang w:val="en-US"/>
        </w:rPr>
      </w:pPr>
      <w:r>
        <w:rPr>
          <w:lang w:val="en-US"/>
        </w:rPr>
        <w:t>Supplementary Material – V2</w:t>
      </w:r>
    </w:p>
    <w:p w14:paraId="7EFCF763" w14:textId="77777777" w:rsidR="00FA2CF0" w:rsidRPr="00FA2CF0" w:rsidRDefault="00FA2CF0" w:rsidP="00FA2CF0">
      <w:pPr>
        <w:rPr>
          <w:lang w:val="en-US"/>
        </w:rPr>
      </w:pPr>
      <w:r w:rsidRPr="00FA2CF0">
        <w:rPr>
          <w:lang w:val="en-US"/>
        </w:rPr>
        <w:t>Extended MRI Data Acquisition and Preprocessing Parameters</w:t>
      </w:r>
    </w:p>
    <w:p w14:paraId="49AB9FDB" w14:textId="77777777" w:rsidR="00FA2CF0" w:rsidRPr="00FA2CF0" w:rsidRDefault="00FA2CF0" w:rsidP="00FA2CF0">
      <w:pPr>
        <w:rPr>
          <w:lang w:val="en-US"/>
        </w:rPr>
      </w:pPr>
      <w:r w:rsidRPr="00FA2CF0">
        <w:rPr>
          <w:lang w:val="en-US"/>
        </w:rPr>
        <w:t xml:space="preserve">Magnetic resonance imaging (MRI) data were acquired using a [e.g., 3.0 Tesla Siemens </w:t>
      </w:r>
      <w:proofErr w:type="spellStart"/>
      <w:r w:rsidRPr="00FA2CF0">
        <w:rPr>
          <w:lang w:val="en-US"/>
        </w:rPr>
        <w:t>Magnetom</w:t>
      </w:r>
      <w:proofErr w:type="spellEnd"/>
      <w:r w:rsidRPr="00FA2CF0">
        <w:rPr>
          <w:lang w:val="en-US"/>
        </w:rPr>
        <w:t xml:space="preserve"> Prisma] scanner equipped with a [e.g., 32-channel] head coil. Functional images were acquired using a T2*-weighted echo-planar imaging (EPI) sequence with the following parameters: repetition time (TR) = 2000 </w:t>
      </w:r>
      <w:proofErr w:type="spellStart"/>
      <w:r w:rsidRPr="00FA2CF0">
        <w:rPr>
          <w:lang w:val="en-US"/>
        </w:rPr>
        <w:t>ms</w:t>
      </w:r>
      <w:proofErr w:type="spellEnd"/>
      <w:r w:rsidRPr="00FA2CF0">
        <w:rPr>
          <w:lang w:val="en-US"/>
        </w:rPr>
        <w:t xml:space="preserve">, echo time (TE) = [e.g., 30 </w:t>
      </w:r>
      <w:proofErr w:type="spellStart"/>
      <w:r w:rsidRPr="00FA2CF0">
        <w:rPr>
          <w:lang w:val="en-US"/>
        </w:rPr>
        <w:t>ms</w:t>
      </w:r>
      <w:proofErr w:type="spellEnd"/>
      <w:r w:rsidRPr="00FA2CF0">
        <w:rPr>
          <w:lang w:val="en-US"/>
        </w:rPr>
        <w:t xml:space="preserve">], flip angle = [e.g., 90°], field of view (FOV) = [e.g., 220 × 220 mm], and voxel size = [e.g., 3 × 3 × 3 mm]. A high-resolution T1-weighted anatomical image was also acquired for spatial normalization and anatomical localization (TR = [X] </w:t>
      </w:r>
      <w:proofErr w:type="spellStart"/>
      <w:r w:rsidRPr="00FA2CF0">
        <w:rPr>
          <w:lang w:val="en-US"/>
        </w:rPr>
        <w:t>ms</w:t>
      </w:r>
      <w:proofErr w:type="spellEnd"/>
      <w:r w:rsidRPr="00FA2CF0">
        <w:rPr>
          <w:lang w:val="en-US"/>
        </w:rPr>
        <w:t xml:space="preserve">, TE = [X] </w:t>
      </w:r>
      <w:proofErr w:type="spellStart"/>
      <w:r w:rsidRPr="00FA2CF0">
        <w:rPr>
          <w:lang w:val="en-US"/>
        </w:rPr>
        <w:t>ms</w:t>
      </w:r>
      <w:proofErr w:type="spellEnd"/>
      <w:r w:rsidRPr="00FA2CF0">
        <w:rPr>
          <w:lang w:val="en-US"/>
        </w:rPr>
        <w:t>, voxel size = 1 × 1 × 1 mm).</w:t>
      </w:r>
    </w:p>
    <w:p w14:paraId="58206DF2" w14:textId="77777777" w:rsidR="00FA2CF0" w:rsidRPr="00FA2CF0" w:rsidRDefault="00FA2CF0" w:rsidP="00FA2CF0">
      <w:pPr>
        <w:rPr>
          <w:lang w:val="en-US"/>
        </w:rPr>
      </w:pPr>
    </w:p>
    <w:p w14:paraId="57ABCE55" w14:textId="6F26D180" w:rsidR="00FA2CF0" w:rsidRDefault="00FA2CF0" w:rsidP="00FA2CF0">
      <w:pPr>
        <w:rPr>
          <w:lang w:val="en-US"/>
        </w:rPr>
      </w:pPr>
      <w:r w:rsidRPr="00FA2CF0">
        <w:rPr>
          <w:lang w:val="en-US"/>
        </w:rPr>
        <w:t xml:space="preserve">Functional data were preprocessed using Statistical Parametric Mapping (SPM12; </w:t>
      </w:r>
      <w:proofErr w:type="spellStart"/>
      <w:r w:rsidRPr="00FA2CF0">
        <w:rPr>
          <w:lang w:val="en-US"/>
        </w:rPr>
        <w:t>Wellcome</w:t>
      </w:r>
      <w:proofErr w:type="spellEnd"/>
      <w:r w:rsidRPr="00FA2CF0">
        <w:rPr>
          <w:lang w:val="en-US"/>
        </w:rPr>
        <w:t xml:space="preserve"> Trust Centre for Neuroimaging, London, UK) running on MATLAB. To allow for signal equilibration, the first [X] volumes of each run were discarded. The preprocessing pipeline included: slice-timing correction to account for acquisition time differences, spatial realignment to the first volume to correct for head motion, and co-registration of the anatomical T1 image to the mean functional EPI image. The anatomical image was segmented into gray matter, white matter, and cerebrospinal fluid, and the resulting deformation fields were used to spatially normalize the functional images into standard Montreal Neurological Institute (MNI) space, resampling to a voxel size of 2 × 2 × 2 mm³. Finally, the normalized functional images were spatially smoothed using an 8 mm </w:t>
      </w:r>
      <w:proofErr w:type="gramStart"/>
      <w:r w:rsidRPr="00FA2CF0">
        <w:rPr>
          <w:lang w:val="en-US"/>
        </w:rPr>
        <w:t>full-width</w:t>
      </w:r>
      <w:proofErr w:type="gramEnd"/>
      <w:r w:rsidRPr="00FA2CF0">
        <w:rPr>
          <w:lang w:val="en-US"/>
        </w:rPr>
        <w:t xml:space="preserve"> at half-maximum (FWHM) isotropic Gaussian kernel.</w:t>
      </w:r>
    </w:p>
    <w:p w14:paraId="17573274" w14:textId="77777777" w:rsidR="00FA2CF0" w:rsidRDefault="00FA2CF0" w:rsidP="00FA2CF0">
      <w:pPr>
        <w:rPr>
          <w:lang w:val="en-US"/>
        </w:rPr>
      </w:pPr>
    </w:p>
    <w:p w14:paraId="5039DE62" w14:textId="075B5EE4" w:rsidR="00FA2CF0" w:rsidRDefault="00FA2CF0" w:rsidP="00FA2CF0">
      <w:pPr>
        <w:rPr>
          <w:lang w:val="en-US"/>
        </w:rPr>
      </w:pPr>
      <w:r>
        <w:t>Extended fMRI Statistical Modeling</w:t>
      </w:r>
    </w:p>
    <w:p w14:paraId="6FA9E9E2" w14:textId="07499B6B" w:rsidR="00FA2CF0" w:rsidRPr="00FA2CF0" w:rsidRDefault="00FA2CF0" w:rsidP="00FA2CF0">
      <w:pPr>
        <w:rPr>
          <w:lang w:val="en-US"/>
        </w:rPr>
      </w:pPr>
      <w:r>
        <w:t>At the first (subject) level, blood-oxygen-level-dependent (BOLD) responses were modeled using a General Linear Model (GLM). The task phases (</w:t>
      </w:r>
      <w:r>
        <w:rPr>
          <w:i/>
          <w:iCs/>
        </w:rPr>
        <w:t>Decision</w:t>
      </w:r>
      <w:r>
        <w:t xml:space="preserve">, </w:t>
      </w:r>
      <w:r>
        <w:rPr>
          <w:i/>
          <w:iCs/>
        </w:rPr>
        <w:t>Anticipation</w:t>
      </w:r>
      <w:r>
        <w:t xml:space="preserve">, and </w:t>
      </w:r>
      <w:r>
        <w:rPr>
          <w:i/>
          <w:iCs/>
        </w:rPr>
        <w:t>Response</w:t>
      </w:r>
      <w:r>
        <w:t xml:space="preserve">) were modeled as event-related delta functions convolved with the canonical hemodynamic response function (HRF). To identify brain regions tracking computational learning signals independently of visual feedback, the trial-by-trial Prediction Error (PE) was entered as a parametric modulator on the </w:t>
      </w:r>
      <w:r>
        <w:rPr>
          <w:i/>
          <w:iCs/>
        </w:rPr>
        <w:t>Response</w:t>
      </w:r>
      <w:r>
        <w:t xml:space="preserve"> onset. To account for physiological and movement-related noise, six rigid-body head motion parameters (three translations, three rotations) were included as nuisance regressors. A high-pass filter with a cutoff of 128 seconds was applied to remove low-frequency drifts. Parameter estimate images and contrast images generated at the first level were subsequently entered into the second-level two-sample </w:t>
      </w:r>
      <w:r>
        <w:rPr>
          <w:i/>
          <w:iCs/>
        </w:rPr>
        <w:t>t</w:t>
      </w:r>
      <w:r>
        <w:t>-tests and multiple regression analyses.</w:t>
      </w:r>
    </w:p>
    <w:sectPr w:rsidR="00FA2CF0" w:rsidRPr="00FA2CF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2CF0"/>
    <w:rsid w:val="00366218"/>
    <w:rsid w:val="003C0836"/>
    <w:rsid w:val="00614D1A"/>
    <w:rsid w:val="00CA6079"/>
    <w:rsid w:val="00E33840"/>
    <w:rsid w:val="00E86BB1"/>
    <w:rsid w:val="00EC5E95"/>
    <w:rsid w:val="00FA2CF0"/>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decimalSymbol w:val=","/>
  <w:listSeparator w:val=","/>
  <w14:docId w14:val="24ED44F0"/>
  <w15:chartTrackingRefBased/>
  <w15:docId w15:val="{9A0733FD-9FC1-5D46-86CA-DB2E4A2876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2C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A2C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A2C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2C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2C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2C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2C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2C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2C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2C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A2C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A2C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2C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2C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2C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2C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2C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2CF0"/>
    <w:rPr>
      <w:rFonts w:eastAsiaTheme="majorEastAsia" w:cstheme="majorBidi"/>
      <w:color w:val="272727" w:themeColor="text1" w:themeTint="D8"/>
    </w:rPr>
  </w:style>
  <w:style w:type="paragraph" w:styleId="Title">
    <w:name w:val="Title"/>
    <w:basedOn w:val="Normal"/>
    <w:next w:val="Normal"/>
    <w:link w:val="TitleChar"/>
    <w:uiPriority w:val="10"/>
    <w:qFormat/>
    <w:rsid w:val="00FA2C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2C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2C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2C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2CF0"/>
    <w:pPr>
      <w:spacing w:before="160"/>
      <w:jc w:val="center"/>
    </w:pPr>
    <w:rPr>
      <w:i/>
      <w:iCs/>
      <w:color w:val="404040" w:themeColor="text1" w:themeTint="BF"/>
    </w:rPr>
  </w:style>
  <w:style w:type="character" w:customStyle="1" w:styleId="QuoteChar">
    <w:name w:val="Quote Char"/>
    <w:basedOn w:val="DefaultParagraphFont"/>
    <w:link w:val="Quote"/>
    <w:uiPriority w:val="29"/>
    <w:rsid w:val="00FA2CF0"/>
    <w:rPr>
      <w:i/>
      <w:iCs/>
      <w:color w:val="404040" w:themeColor="text1" w:themeTint="BF"/>
    </w:rPr>
  </w:style>
  <w:style w:type="paragraph" w:styleId="ListParagraph">
    <w:name w:val="List Paragraph"/>
    <w:basedOn w:val="Normal"/>
    <w:uiPriority w:val="34"/>
    <w:qFormat/>
    <w:rsid w:val="00FA2CF0"/>
    <w:pPr>
      <w:ind w:left="720"/>
      <w:contextualSpacing/>
    </w:pPr>
  </w:style>
  <w:style w:type="character" w:styleId="IntenseEmphasis">
    <w:name w:val="Intense Emphasis"/>
    <w:basedOn w:val="DefaultParagraphFont"/>
    <w:uiPriority w:val="21"/>
    <w:qFormat/>
    <w:rsid w:val="00FA2CF0"/>
    <w:rPr>
      <w:i/>
      <w:iCs/>
      <w:color w:val="0F4761" w:themeColor="accent1" w:themeShade="BF"/>
    </w:rPr>
  </w:style>
  <w:style w:type="paragraph" w:styleId="IntenseQuote">
    <w:name w:val="Intense Quote"/>
    <w:basedOn w:val="Normal"/>
    <w:next w:val="Normal"/>
    <w:link w:val="IntenseQuoteChar"/>
    <w:uiPriority w:val="30"/>
    <w:qFormat/>
    <w:rsid w:val="00FA2C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2CF0"/>
    <w:rPr>
      <w:i/>
      <w:iCs/>
      <w:color w:val="0F4761" w:themeColor="accent1" w:themeShade="BF"/>
    </w:rPr>
  </w:style>
  <w:style w:type="character" w:styleId="IntenseReference">
    <w:name w:val="Intense Reference"/>
    <w:basedOn w:val="DefaultParagraphFont"/>
    <w:uiPriority w:val="32"/>
    <w:qFormat/>
    <w:rsid w:val="00FA2CF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387</Words>
  <Characters>2211</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Kaan Keskin</dc:creator>
  <cp:keywords/>
  <dc:description/>
  <cp:lastModifiedBy>Kaan Keskin</cp:lastModifiedBy>
  <cp:revision>1</cp:revision>
  <dcterms:created xsi:type="dcterms:W3CDTF">2026-04-06T20:24:00Z</dcterms:created>
  <dcterms:modified xsi:type="dcterms:W3CDTF">2026-04-06T20:42:00Z</dcterms:modified>
</cp:coreProperties>
</file>