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3D865" w14:textId="77777777" w:rsidR="00244717" w:rsidRDefault="00714B07" w:rsidP="005144F5">
      <w:pPr>
        <w:pStyle w:val="Duz1"/>
        <w:numPr>
          <w:ilvl w:val="0"/>
          <w:numId w:val="2"/>
        </w:numPr>
      </w:pPr>
      <w:r>
        <w:t xml:space="preserve">Introduction </w:t>
      </w:r>
    </w:p>
    <w:p w14:paraId="34003B27" w14:textId="77777777" w:rsidR="00CB3803" w:rsidRDefault="00A107F8" w:rsidP="00244717">
      <w:pPr>
        <w:pStyle w:val="BodyText"/>
        <w:rPr>
          <w:rFonts w:ascii="Arial" w:hAnsi="Arial" w:cs="Arial"/>
          <w:sz w:val="22"/>
          <w:szCs w:val="22"/>
        </w:rPr>
      </w:pPr>
      <w:r>
        <w:rPr>
          <w:rFonts w:ascii="Arial" w:hAnsi="Arial" w:cs="Arial"/>
          <w:sz w:val="22"/>
          <w:szCs w:val="22"/>
        </w:rPr>
        <w:t>Social cognitive dysfunction, manifesting as impaired emotion recognition, cue processing and interpersonal reciprocity, is a debilitating core feature of Schizophrenia (SZ) that drives social isolation, relapse and reduced quality of life</w:t>
      </w:r>
      <w:r>
        <w:rPr>
          <w:rFonts w:ascii="Arial" w:hAnsi="Arial" w:cs="Arial"/>
          <w:sz w:val="22"/>
          <w:szCs w:val="22"/>
        </w:rPr>
        <w:fldChar w:fldCharType="begin"/>
      </w:r>
      <w:r>
        <w:rPr>
          <w:rFonts w:ascii="Arial" w:hAnsi="Arial" w:cs="Arial"/>
          <w:sz w:val="22"/>
          <w:szCs w:val="22"/>
        </w:rPr>
        <w:instrText xml:space="preserve"> ADDIN ZOTERO_ITEM CSL_CITATION {"citationID":"JsVMEAXb","properties":{"formattedCitation":"(1\\uc0\\u8211{}3,5,7,9,11)","plainCitation":"(1–3,5,7,9,11)","noteIndex":0},"citationItems":[{"id":175,"uris":["http://zotero.org/users/9264269/items/TJF6LHYM"],"itemData":{"id":175,"type":"article-journal","abstract":"Major depressive disorder (MDD) represents a grand challenge to human health and society, but the underlying pathophysiological mechanisms remain elusive. Previous neuroimaging studies have suggested that MDD is associated with abnormal interactions and dynamics in two major neural systems including the default mode - salience (DMN-SAL) network and the executive - limbic (EXE-LIM) network, but it is not clear which network plays a central role and which network plays a subordinate role in MDD pathophysiology. To address this question, we refined a newly developed Multiscale Neural Model Inversion (MNMI) framework and applied it to test whether MDD is more affected by impaired circuit interactions in the DMN-SAL network or the EXE-LIM network. The model estimates the directed connection strengths between different neural populations both within and between brain regions based on resting-state fMRI data collected from normal healthy subjects and patients with MDD. Results show that MDD is primarily characterized by abnormal circuit interactions in the EXE-LIM network rather than the DMN-SAL network. Specifically, we observe reduced frontoparietal effective connectivity that potentially contributes to hypoactivity in the dorsolateral prefrontal cortex (dlPFC), and decreased intrinsic inhibition combined with increased excitation from the superior parietal cortex (SPC) that potentially lead to amygdala hyperactivity, together resulting in activation imbalance in the PFC-amygdala circuit that pervades in MDD. Moreover, the model reveals reduced PFC-to-hippocampus excitation but decreased SPC-to-thalamus inhibition in MDD population that potentially lead to hypoactivity in the hippocampus and hyperactivity in the thalamus, consistent with previous experimental data. Overall, our findings provide strong support for the long-standing limbic-cortical dysregulation model in major depression but also offer novel insights into the multiscale pathophysiology of this debilitating disease.","container-title":"NeuroImage. Clinical","DOI":"10.1016/j.nicl.2021.102758","ISSN":"2213-1582","journalAbbreviation":"Neuroimage Clin","language":"eng","page":"102758","PMID":"34284335","PMCID":"PMC8313604","source":"PubMed","title":"Multiscale neural modeling of resting-state fMRI reveals executive-limbic malfunction as a core mechanism in major depressive disorder","volume":"31","author":[{"family":"Li","given":"Guoshi"},{"family":"Liu","given":"Yujie"},{"family":"Zheng","given":"Yanting"},{"family":"Wu","given":"Ye"},{"family":"Li","given":"Danian"},{"family":"Liang","given":"Xinyu"},{"family":"Chen","given":"Yaoping"},{"family":"Cui","given":"Ying"},{"family":"Yap","given":"Pew-Thian"},{"family":"Qiu","given":"Shijun"},{"family":"Zhang","given":"Han"},{"family":"Shen","given":"Dinggang"}],"issued":{"date-parts":[["2021"]]}}},{"id":4863,"uris":["http://zotero.org/users/9264269/items/ZFKLPADL"],"itemData":{"id":4863,"type":"article-journal","container-title":"JAMA Psychiatry","DOI":"10.1001/jamapsychiatry.2017.2228","ISSN":"2168-622X","issue":"9","journalAbbreviation":"JAMA Psychiatry","language":"en","note":"number: 9","page":"958","source":"DOI.org (Crossref)","title":"Association of White Matter With Core Cognitive Deficits in Patients With Schizophrenia","volume":"74","author":[{"family":"Kochunov","given":"Peter"},{"family":"Coyle","given":"Thomas R."},{"family":"Rowland","given":"Laura M."},{"family":"Jahanshad","given":"Neda"},{"family":"Thompson","given":"Paul M."},{"family":"Kelly","given":"Sinead"},{"family":"Du","given":"Xiaoming"},{"family":"Sampath","given":"Hemalatha"},{"family":"Bruce","given":"Heather"},{"family":"Chiappelli","given":"Joshua"},{"family":"Ryan","given":"Meghann"},{"family":"Fisseha","given":"Feven"},{"family":"Savransky","given":"Anya"},{"family":"Adhikari","given":"Bhim"},{"family":"Chen","given":"Shuo"},{"family":"Paciga","given":"Sara A."},{"family":"Whelan","given":"Christopher D."},{"family":"Xie","given":"Zhiyong"},{"family":"Hyde","given":"Craig L."},{"family":"Chen","given":"Xing"},{"family":"Schubert","given":"Christian R."},{"family":"O’Donnell","given":"Patricio"},{"family":"Hong","given":"L. Elliot"}],"issued":{"date-parts":[["2017",9,1]]}}},{"id":4871,"uris":["http://zotero.org/users/9264269/items/NTVEJGXE"],"itemData":{"id":4871,"type":"article-journal","container-title":"Quality of Life Research","DOI":"10.1007/s11136-015-1019-2","ISSN":"0962-9343, 1573-2649","issue":"11","journalAbbreviation":"Qual Life Res","language":"en","note":"number: 11","page":"2753-2760","source":"DOI.org (Crossref)","title":"Subjective perceptions of cognitive deficits and their influences on quality of life among patients with schizophrenia","volume":"24","author":[{"family":"Caqueo-Urízar","given":"Alejandra"},{"family":"Boyer","given":"Laurent"},{"family":"Baumstarck","given":"Karine"},{"family":"Gilman","given":"Stephen E."}],"issued":{"date-parts":[["2015",11]]}}},{"id":4855,"uris":["http://zotero.org/users/9264269/items/AL2JHC8H"],"itemData":{"id":4855,"type":"article-journal","container-title":"Neuropsychopharmacology","DOI":"10.1038/npp.2010.156","ISSN":"0893-133X, 1740-634X","issue":"1","journalAbbreviation":"Neuropsychopharmacol","language":"en","license":"http://www.springer.com/tdm","note":"number: 1","page":"316-338","source":"DOI.org (Crossref)","title":"Cognitive Control Deficits in Schizophrenia: Mechanisms and Meaning","title-short":"Cognitive Control Deficits in Schizophrenia","volume":"36","author":[{"family":"Lesh","given":"Tyler A"},{"family":"Niendam","given":"Tara A"},{"family":"Minzenberg","given":"Michael J"},{"family":"Carter","given":"Cameron S"}],"issued":{"date-parts":[["2011",1]]}}},{"id":4830,"uris":["http://zotero.org/users/9264269/items/7USENFRU"],"itemData":{"id":4830,"type":"article-journal","container-title":"Clinical Psychopharmacology and Neuroscience","DOI":"10.9758/cpn.2018.16.1.7","ISSN":"1738-1088, 2093-4327","issue":"1","journalAbbreviation":"Clin Psychopharmacol Neurosci","language":"en","note":"number: 1","page":"7-17","source":"DOI.org (Crossref)","title":"Cognitive Deficits in Schizophrenia: Understanding the Biological Correlates and Remediation Strategies","title-short":"Cognitive Deficits in Schizophrenia","volume":"16","author":[{"family":"Tripathi","given":"Adarsh"},{"family":"Kar","given":"Sujita Kumar"},{"family":"Shukla","given":"Rashmi"}],"issued":{"date-parts":[["2018",2,28]]}}},{"id":4916,"uris":["http://zotero.org/users/9264269/items/KZGVQ46F"],"itemData":{"id":4916,"type":"article-journal","container-title":"Schizophrenia Research","DOI":"10.1016/j.schres.2005.03.001","ISSN":"0920-9964","issue":"2-3","language":"en","license":"https://www.elsevier.com/tdm/userlicense/1.0/","page":"343-353","publisher":"Elsevier BV","source":"Crossref","title":"Cognitive predictors of psychosocial functioning outcome in schizophrenia: A follow-up study of subjects participating in a rehabilitation program","title-short":"Cognitive predictors of psychosocial functioning outcome in schizophrenia","volume":"77","author":[{"family":"Prouteau","given":"Antoinette"},{"family":"Verdoux","given":"Hélène"},{"family":"Briand","given":"Catherine"},{"family":"Lesage","given":"Alain"},{"family":"Lalonde","given":"Pierre"},{"family":"Nicole","given":"Luc"},{"family":"Reinharz","given":"Daniel"},{"family":"Stip","given":"Emmanuel"}],"issued":{"date-parts":[["2005",9]]}}},{"id":4869,"uris":["http://zotero.org/users/9264269/items/IBGXY36U"],"itemData":{"id":4869,"type":"article-journal","container-title":"Journal of Affective Disorders","DOI":"10.1016/j.jad.2019.05.063","ISSN":"01650327","journalAbbreviation":"Journal of Affective Disorders","language":"en","page":"164-175","source":"DOI.org (Crossref)","title":"Effects of depression and cognitive impairment on quality of life in older adults with schizophrenia spectrum disorder: Results from a multicenter study","title-short":"Effects of depression and cognitive impairment on quality of life in older adults with schizophrenia spectrum disorder","volume":"256","author":[{"family":"Pascal De Raykeer","given":"Rachel"},{"family":"Hoertel","given":"Nicolas"},{"family":"Blanco","given":"Carlos"},{"family":"Lavaud","given":"Pierre"},{"family":"Kaladjian","given":"Arthur"},{"family":"Blumenstock","given":"Yvonne"},{"family":"Cuervo-Lombard","given":"Christine-Vanessa"},{"family":"Peyre","given":"Hugo"},{"family":"Lemogne","given":"Cédric"},{"family":"Limosin","given":"Frédéric"},{"family":"Adès","given":"J."},{"family":"Alezrah","given":"C."},{"family":"Amado","given":"I."},{"family":"Amar","given":"G."},{"family":"Andréi","given":"O."},{"family":"Arbault","given":"D."},{"family":"Archambault","given":"G."},{"family":"Aurifeuille","given":"G."},{"family":"Barrière","given":"S."},{"family":"Béra-Potelle","given":"C."},{"family":"Blumenstock","given":"Y."},{"family":"Bardou","given":"H."},{"family":"Bareil-Guérin","given":"M."},{"family":"Barrau","given":"P."},{"family":"Barrouillet","given":"C."},{"family":"Baup","given":"E."},{"family":"Bazin","given":"N."},{"family":"Beaufils","given":"B."},{"family":"Ben Ayed","given":"J."},{"family":"Benoit","given":"M."},{"family":"Benyacoub","given":"K."},{"family":"Bichet","given":"T."},{"family":"Blanadet","given":"F."},{"family":"Blanc","given":"O."},{"family":"Blanc-Comiti","given":"J."},{"family":"Boussiron","given":"D."},{"family":"Bouysse","given":"A.M."},{"family":"Brochard","given":"A."},{"family":"Brochart","given":"O."},{"family":"Bucheron","given":"B."},{"family":"Cabot","given":"M."},{"family":"Camus","given":"V."},{"family":"Chabannes","given":"J.M."},{"family":"Charlot","given":"V."},{"family":"Charpeaud","given":"T."},{"family":"Clad-Mor","given":"C."},{"family":"Combes","given":"C."},{"family":"Comisu","given":"M."},{"family":"Cordier","given":"B."},{"family":"Costi","given":"F."},{"family":"Courcelles","given":"J.P."},{"family":"Creixell","given":"M."},{"family":"Cuche","given":"H."},{"family":"Cuervo-Lombard","given":"C."},{"family":"Dammak","given":"A."},{"family":"Da Rin","given":"D."},{"family":"Denis","given":"J.B."},{"family":"Denizot","given":"H."},{"family":"Deperthuis","given":"A."},{"family":"Diers","given":"E."},{"family":"Dirami","given":"S."},{"family":"Donneau","given":"D."},{"family":"Dreano","given":"P."},{"family":"Dubertret","given":"C."},{"family":"Duprat","given":"E."},{"family":"Duthoit","given":"D."},{"family":"Fernandez","given":"C."},{"family":"Fonfrede","given":"P."},{"family":"Freitas","given":"N."},{"family":"Gasnier","given":"P."},{"family":"Gauillard","given":"J."},{"family":"Getten","given":"F."},{"family":"Gierski","given":"F."},{"family":"Godart","given":"F."},{"family":"Gourevitch","given":"R."},{"family":"Grassin Delyle","given":"A."},{"family":"Gremion","given":"J."},{"family":"Gres","given":"H."},{"family":"Griner","given":"V."},{"family":"Guerin-Langlois","given":"C."},{"family":"Guggiari","given":"C."},{"family":"Guillin","given":"O."},{"family":"Hadaoui","given":"H."},{"family":"Haffen","given":"E."},{"family":"Hanon","given":"C."},{"family":"Haouzir","given":"S."},{"family":"Hazif-Thomas","given":"C."},{"family":"Heron","given":"A."},{"family":"Hoertel","given":"N."},{"family":"Hubsch","given":"B."},{"family":"Jalenques","given":"I."},{"family":"Januel","given":"D."},{"family":"Kaladjian","given":"A."},{"family":"Karnycheff","given":"J.F."},{"family":"Kebir","given":"O."},{"family":"Krebs","given":"M.O."},{"family":"Lajugie","given":"C."},{"family":"Leboyer","given":"M."},{"family":"Legrand","given":"P."},{"family":"Lejoyeux","given":"M."},{"family":"Lemaire","given":"V."},{"family":"Leroy","given":"E."},{"family":"Levy-Chavagnat","given":"D."},{"family":"Leydier","given":"A."},{"family":"Liling","given":"C."},{"family":"Limosin","given":"F."},{"family":"Llorca","given":"P.M."},{"family":"Loeffel","given":"P."},{"family":"Louville","given":"P."},{"family":"Lucas Navarro","given":"S."},{"family":"Mages","given":"N."},{"family":"Mahi","given":"M."},{"family":"Maillet","given":"O."},{"family":"Manetti","given":"A."},{"family":"Martelli","given":"C."},{"family":"Martin","given":"P."},{"family":"Masson","given":"M."},{"family":"Maurs-Ferrer","given":"I."},{"family":"Mauvieux","given":"J."},{"family":"Mazmanian","given":"S."},{"family":"Mechin","given":"E."},{"family":"Mekaoui","given":"L."},{"family":"Meniai","given":"M."},{"family":"Metton","given":"A."},{"family":"Mihoubi","given":"A."},{"family":"Miron","given":"M."},{"family":"Mora","given":"G."},{"family":"Niro Adès","given":"V."},{"family":"Nubukpo","given":"P."},{"family":"Omnes","given":"C."},{"family":"Papin","given":"S."},{"family":"Paris","given":"P."},{"family":"Passerieux","given":"C."},{"family":"Pellerin","given":"J."},{"family":"Perlbarg","given":"J."},{"family":"Perron","given":"S."},{"family":"Petit","given":"A."},{"family":"Petitjean","given":"F."},{"family":"Portefaix","given":"C."},{"family":"Pringuey","given":"D."},{"family":"Radtchenko","given":"A."},{"family":"Rahiou","given":"H."},{"family":"Raucher-Chéné","given":"D."},{"family":"Rauzy","given":"A."},{"family":"Reinheimer","given":"L."},{"family":"Renard","given":"M."},{"family":"René","given":"M."},{"family":"Rengade","given":"C.E."},{"family":"Reynaud","given":"P."},{"family":"Robin","given":"D."},{"family":"Rodrigues","given":"C."},{"family":"Rollet","given":"A."},{"family":"Rondepierre","given":"F."},{"family":"Rousselot","given":"B."},{"family":"Rubingher","given":"S."},{"family":"Saba","given":"G."},{"family":"Salvarelli","given":"J.P."},{"family":"Samuelian","given":"J.C."},{"family":"Scemama-Ammar","given":"C."},{"family":"Schurhoff","given":"F."},{"family":"Schuster","given":"J.P."},{"family":"Sechter","given":"D."},{"family":"Segalas","given":"B."},{"family":"Seguret","given":"T."},{"family":"Seigneurie","given":"A.S."},{"family":"Semmak","given":"A."},{"family":"Slama","given":"F."},{"family":"Taisne","given":"S."},{"family":"Taleb","given":"M."},{"family":"Terra","given":"J.L."},{"family":"Thefenne","given":"D."},{"family":"Tran","given":"E."},{"family":"Tourtauchaux","given":"R."},{"family":"Vacheron","given":"M.N."},{"family":"Vandel","given":"P."},{"family":"Vanhoucke","given":"V."},{"family":"Venet","given":"E."},{"family":"Verdoux","given":"H."},{"family":"Viala","given":"A."},{"family":"Vidon","given":"G."},{"family":"Vitre","given":"M."},{"family":"Vurpas","given":"J.L."},{"family":"Wagermez","given":"C."},{"family":"Walter","given":"M."},{"family":"Yon","given":"L."},{"family":"Zendjidjian","given":"X."}],"issued":{"date-parts":[["2019",9]]}}}],"schema":"https://github.com/citation-style-language/schema/raw/master/csl-citation.json"} </w:instrText>
      </w:r>
      <w:r>
        <w:rPr>
          <w:rFonts w:ascii="Arial" w:hAnsi="Arial" w:cs="Arial"/>
          <w:sz w:val="22"/>
          <w:szCs w:val="22"/>
        </w:rPr>
        <w:fldChar w:fldCharType="separate"/>
      </w:r>
      <w:r w:rsidRPr="00A107F8">
        <w:rPr>
          <w:rFonts w:ascii="Arial" w:eastAsiaTheme="minorHAnsi" w:hAnsi="Arial" w:cs="Arial"/>
          <w:sz w:val="22"/>
        </w:rPr>
        <w:t>(1–3,5,7,9,11)</w:t>
      </w:r>
      <w:r>
        <w:rPr>
          <w:rFonts w:ascii="Arial" w:hAnsi="Arial" w:cs="Arial"/>
          <w:sz w:val="22"/>
          <w:szCs w:val="22"/>
        </w:rPr>
        <w:fldChar w:fldCharType="end"/>
      </w:r>
      <w:r w:rsidRPr="00244717">
        <w:rPr>
          <w:rFonts w:ascii="Arial" w:hAnsi="Arial" w:cs="Arial"/>
          <w:sz w:val="22"/>
          <w:szCs w:val="22"/>
        </w:rPr>
        <w:t>.</w:t>
      </w:r>
      <w:r>
        <w:rPr>
          <w:rFonts w:ascii="Arial" w:hAnsi="Arial" w:cs="Arial"/>
          <w:sz w:val="22"/>
          <w:szCs w:val="22"/>
        </w:rPr>
        <w:t xml:space="preserve"> </w:t>
      </w:r>
      <w:r w:rsidRPr="00A107F8">
        <w:rPr>
          <w:rFonts w:ascii="Arial" w:hAnsi="Arial" w:cs="Arial"/>
          <w:sz w:val="22"/>
          <w:szCs w:val="22"/>
        </w:rPr>
        <w:t>This process of social reinforcement learning can be elegantly probed using game-theoretic paradigms, such as the Trust Game, where participants must adapt their investment strategies based on the cooperative or deceptive feedback of a social partner</w:t>
      </w:r>
      <w:r>
        <w:rPr>
          <w:rFonts w:ascii="Arial" w:hAnsi="Arial" w:cs="Arial"/>
          <w:sz w:val="22"/>
          <w:szCs w:val="22"/>
        </w:rPr>
        <w:fldChar w:fldCharType="begin"/>
      </w:r>
      <w:r>
        <w:rPr>
          <w:rFonts w:ascii="Arial" w:hAnsi="Arial" w:cs="Arial"/>
          <w:sz w:val="22"/>
          <w:szCs w:val="22"/>
        </w:rPr>
        <w:instrText xml:space="preserve"> ADDIN ZOTERO_ITEM CSL_CITATION {"citationID":"KKY4ruzb","properties":{"formattedCitation":"(4,6)","plainCitation":"(4,6)","noteIndex":0},"citationItems":[{"id":4914,"uris":["http://zotero.org/users/9264269/items/M4I59CLX"],"itemData":{"id":4914,"type":"article-journal","container-title":"Schizophrenia Bulletin","DOI":"10.1093/schbul/sbn045","ISSN":"0586-7614, 1745-1701","issue":"4","language":"en","page":"670-672","publisher":"Oxford University Press (OUP)","source":"Crossref","title":"Social Cognition in Schizophrenia","volume":"34","author":[{"family":"Green","given":"M. F."},{"family":"Leitman","given":"D. I."}],"issued":{"date-parts":[["2007",11,21]]}}},{"id":4917,"uris":["http://zotero.org/users/9264269/items/RBUFUNRJ"],"itemData":{"id":4917,"type":"article-journal","container-title":"Games and Economic Behavior","DOI":"10.1006/game.1995.1027","ISSN":"0899-8256","issue":"1","language":"en","license":"https://www.elsevier.com/tdm/userlicense/1.0/","page":"122-142","publisher":"Elsevier BV","source":"Crossref","title":"Trust, Reciprocity, and Social History","volume":"10","author":[{"family":"Berg","given":"Joyce"},{"family":"Dickhaut","given":"John"},{"family":"McCabe","given":"Kevin"}],"issued":{"date-parts":[["1995",7]]}}}],"schema":"https://github.com/citation-style-language/schema/raw/master/csl-citation.json"}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(4,6)</w:t>
      </w:r>
      <w:r>
        <w:rPr>
          <w:rFonts w:ascii="Arial" w:hAnsi="Arial" w:cs="Arial"/>
          <w:sz w:val="22"/>
          <w:szCs w:val="22"/>
        </w:rPr>
        <w:fldChar w:fldCharType="end"/>
      </w:r>
      <w:r w:rsidRPr="00A107F8">
        <w:rPr>
          <w:rFonts w:ascii="Arial" w:hAnsi="Arial" w:cs="Arial"/>
          <w:sz w:val="22"/>
          <w:szCs w:val="22"/>
        </w:rPr>
        <w:t>.</w:t>
      </w:r>
      <w:r w:rsidR="00CB3803">
        <w:rPr>
          <w:rFonts w:ascii="Arial" w:hAnsi="Arial" w:cs="Arial"/>
          <w:sz w:val="22"/>
          <w:szCs w:val="22"/>
          <w:highlight w:val="white"/>
        </w:rPr>
        <w:t xml:space="preserve"> </w:t>
      </w:r>
    </w:p>
    <w:p w14:paraId="487962E3" w14:textId="1DB28252" w:rsidR="00CB3803" w:rsidRPr="00A107F8" w:rsidRDefault="00CB3803" w:rsidP="00244717">
      <w:pPr>
        <w:pStyle w:val="BodyText"/>
        <w:rPr>
          <w:rFonts w:ascii="Arial" w:hAnsi="Arial" w:cs="Arial"/>
          <w:sz w:val="22"/>
          <w:szCs w:val="22"/>
        </w:rPr>
      </w:pPr>
      <w:r w:rsidRPr="00CB3803">
        <w:rPr>
          <w:rFonts w:ascii="Arial" w:hAnsi="Arial" w:cs="Arial"/>
          <w:sz w:val="22"/>
          <w:szCs w:val="22"/>
        </w:rPr>
        <w:t xml:space="preserve">Previous Trust Game studies demonstrate that </w:t>
      </w:r>
      <w:r>
        <w:rPr>
          <w:rFonts w:ascii="Arial" w:hAnsi="Arial" w:cs="Arial"/>
          <w:sz w:val="22"/>
          <w:szCs w:val="22"/>
        </w:rPr>
        <w:t>SZ</w:t>
      </w:r>
      <w:r w:rsidRPr="00CB3803">
        <w:rPr>
          <w:rFonts w:ascii="Arial" w:hAnsi="Arial" w:cs="Arial"/>
          <w:sz w:val="22"/>
          <w:szCs w:val="22"/>
        </w:rPr>
        <w:t xml:space="preserve"> fail to utilize basic 'win-stay/loss-shift' heuristics; specifically, they invest significantly less than controls when interacting with a cooperative partner, despite showing no difference when playing with a deceptive partner</w:t>
      </w:r>
      <w:r w:rsidRPr="00244717">
        <w:rPr>
          <w:rFonts w:ascii="Arial" w:hAnsi="Arial" w:cs="Arial"/>
          <w:sz w:val="22"/>
          <w:szCs w:val="22"/>
          <w:highlight w:val="white"/>
        </w:rPr>
        <w:t xml:space="preserve"> </w:t>
      </w:r>
      <w:r w:rsidR="00244717" w:rsidRPr="00244717">
        <w:rPr>
          <w:rFonts w:ascii="Arial" w:hAnsi="Arial" w:cs="Arial"/>
          <w:sz w:val="22"/>
          <w:szCs w:val="22"/>
          <w:highlight w:val="white"/>
        </w:rPr>
        <w:fldChar w:fldCharType="begin"/>
      </w:r>
      <w:r w:rsidR="00A107F8">
        <w:rPr>
          <w:rFonts w:ascii="Arial" w:hAnsi="Arial" w:cs="Arial"/>
          <w:sz w:val="22"/>
          <w:szCs w:val="22"/>
          <w:highlight w:val="white"/>
        </w:rPr>
        <w:instrText xml:space="preserve"> ADDIN ZOTERO_ITEM CSL_CITATION {"citationID":"BViJaBZJ","properties":{"formattedCitation":"(8)","plainCitation":"(8)","noteIndex":0},"citationItems":[{"id":4825,"uris":["http://zotero.org/users/9264269/items/9HWHNYET"],"itemData":{"id":4825,"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00244717" w:rsidRPr="00244717">
        <w:rPr>
          <w:rFonts w:ascii="Arial" w:hAnsi="Arial" w:cs="Arial"/>
          <w:sz w:val="22"/>
          <w:szCs w:val="22"/>
          <w:highlight w:val="white"/>
        </w:rPr>
        <w:fldChar w:fldCharType="separate"/>
      </w:r>
      <w:r w:rsidR="00A107F8">
        <w:rPr>
          <w:rFonts w:ascii="Arial" w:hAnsi="Arial" w:cs="Arial"/>
          <w:sz w:val="22"/>
          <w:szCs w:val="22"/>
        </w:rPr>
        <w:t>(8)</w:t>
      </w:r>
      <w:r w:rsidR="00244717" w:rsidRPr="00244717">
        <w:rPr>
          <w:rFonts w:ascii="Arial" w:hAnsi="Arial" w:cs="Arial"/>
          <w:sz w:val="22"/>
          <w:szCs w:val="22"/>
          <w:highlight w:val="white"/>
        </w:rPr>
        <w:fldChar w:fldCharType="end"/>
      </w:r>
      <w:r w:rsidR="00244717" w:rsidRPr="00244717">
        <w:rPr>
          <w:rFonts w:ascii="Arial" w:hAnsi="Arial" w:cs="Arial"/>
          <w:sz w:val="22"/>
          <w:szCs w:val="22"/>
          <w:highlight w:val="white"/>
        </w:rPr>
        <w:t>.</w:t>
      </w:r>
      <w:bookmarkStart w:id="0" w:name="_Hlk226811290"/>
      <w:r>
        <w:rPr>
          <w:rFonts w:ascii="Arial" w:hAnsi="Arial" w:cs="Arial"/>
          <w:sz w:val="22"/>
          <w:szCs w:val="22"/>
        </w:rPr>
        <w:t xml:space="preserve"> </w:t>
      </w:r>
      <w:r w:rsidR="001C53A0" w:rsidRPr="001C53A0">
        <w:rPr>
          <w:rFonts w:ascii="Arial" w:hAnsi="Arial" w:cs="Arial"/>
          <w:sz w:val="22"/>
          <w:szCs w:val="22"/>
        </w:rPr>
        <w:t>These behavioral findings highlight a profound deficit in processing positive social reinforcement</w:t>
      </w:r>
      <w:r w:rsidR="001C53A0" w:rsidRPr="001C53A0">
        <w:rPr>
          <w:rFonts w:ascii="Arial" w:hAnsi="Arial" w:cs="Arial"/>
          <w:sz w:val="22"/>
          <w:szCs w:val="22"/>
        </w:rPr>
        <w:fldChar w:fldCharType="begin"/>
      </w:r>
      <w:r w:rsidR="00A107F8">
        <w:rPr>
          <w:rFonts w:ascii="Arial" w:hAnsi="Arial" w:cs="Arial"/>
          <w:sz w:val="22"/>
          <w:szCs w:val="22"/>
        </w:rPr>
        <w:instrText xml:space="preserve"> ADDIN ZOTERO_ITEM CSL_CITATION {"citationID":"Qrq5qzaq","properties":{"formattedCitation":"(10)","plainCitation":"(10)","noteIndex":0},"citationItems":[{"id":5457,"uris":["http://zotero.org/users/9264269/items/5A3ZTGED"],"itemData":{"id":5457,"type":"chapter","abstract":"Motivational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1C53A0" w:rsidRPr="001C53A0">
        <w:rPr>
          <w:rFonts w:ascii="Arial" w:hAnsi="Arial" w:cs="Arial"/>
          <w:sz w:val="22"/>
          <w:szCs w:val="22"/>
        </w:rPr>
        <w:fldChar w:fldCharType="separate"/>
      </w:r>
      <w:r w:rsidR="00A107F8">
        <w:rPr>
          <w:rFonts w:ascii="Arial" w:hAnsi="Arial" w:cs="Arial"/>
          <w:noProof/>
          <w:sz w:val="22"/>
          <w:szCs w:val="22"/>
        </w:rPr>
        <w:t>(10)</w:t>
      </w:r>
      <w:r w:rsidR="001C53A0" w:rsidRPr="001C53A0">
        <w:rPr>
          <w:rFonts w:ascii="Arial" w:hAnsi="Arial" w:cs="Arial"/>
          <w:sz w:val="22"/>
          <w:szCs w:val="22"/>
        </w:rPr>
        <w:fldChar w:fldCharType="end"/>
      </w:r>
      <w:r w:rsidR="001C53A0" w:rsidRPr="001C53A0">
        <w:rPr>
          <w:rFonts w:ascii="Arial" w:hAnsi="Arial" w:cs="Arial"/>
          <w:sz w:val="22"/>
          <w:szCs w:val="22"/>
        </w:rPr>
        <w:t>, which is directly mirrored in their underlying neural activation. In the game’s safe environment,</w:t>
      </w:r>
      <w:r w:rsidR="001C53A0">
        <w:rPr>
          <w:rFonts w:ascii="Arial" w:hAnsi="Arial" w:cs="Arial"/>
          <w:sz w:val="22"/>
          <w:szCs w:val="22"/>
        </w:rPr>
        <w:t xml:space="preserve"> where cooperative behavior expected and rewarded, healthy </w:t>
      </w:r>
      <w:r>
        <w:rPr>
          <w:rFonts w:ascii="Arial" w:hAnsi="Arial" w:cs="Arial"/>
          <w:sz w:val="22"/>
          <w:szCs w:val="22"/>
        </w:rPr>
        <w:t>controls (HC)</w:t>
      </w:r>
      <w:r w:rsidR="001C53A0">
        <w:rPr>
          <w:rFonts w:ascii="Arial" w:hAnsi="Arial" w:cs="Arial"/>
          <w:sz w:val="22"/>
          <w:szCs w:val="22"/>
        </w:rPr>
        <w:t xml:space="preserve"> typically engage robust networks to process social cues and compute the expected value of cooperation</w:t>
      </w:r>
      <w:r w:rsidR="001C53A0">
        <w:rPr>
          <w:rFonts w:ascii="Arial" w:hAnsi="Arial" w:cs="Arial"/>
          <w:sz w:val="22"/>
          <w:szCs w:val="22"/>
        </w:rPr>
        <w:fldChar w:fldCharType="begin"/>
      </w:r>
      <w:r w:rsidR="00A107F8">
        <w:rPr>
          <w:rFonts w:ascii="Arial" w:hAnsi="Arial" w:cs="Arial"/>
          <w:sz w:val="22"/>
          <w:szCs w:val="22"/>
        </w:rPr>
        <w:instrText xml:space="preserve"> ADDIN ZOTERO_ITEM CSL_CITATION {"citationID":"fo7IyZYS","properties":{"formattedCitation":"(10,12)","plainCitation":"(10,12)","noteIndex":0},"citationItems":[{"id":5457,"uris":["http://zotero.org/users/9264269/items/5A3ZTGED"],"itemData":{"id":5457,"type":"chapter","abstract":"Motivational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M."}],"accessed":{"date-parts":[["2026",4,11]]},"issued":{"date-parts":[["2015"]]}}},{"id":5456,"uris":["http://zotero.org/users/9264269/items/37S67Y2R"],"itemData":{"id":5456,"type":"article-journal","abstract":"Aberrant social behavior is a frequent clinical feature of schizophrenia and seems related to the duration and chronicity of the disorder. However, there is a paucity of research into the relationship between social behavior and social cognition in patients with severe chronic courses of schizophrenia. Accordingly, the present study sought to examine the appreciation of social rules and norms such as fairness and cooperation in schizophrenia patients who fulﬁlled the criteria for “deﬁcit syndrome”. To this end, we utilized a so-called Ultimatum Game, and a Dictator Game, in which participants had the option to punish others’ unfair behavior. In addition, “theory of mind”, the ability to appreciate others’ mental states, was also examined using the Mental State Attribution Task (MSAT). Symptom severity was determined using the Positive and Negative Syndrome Scale. While patients with deﬁcit schizophrenia responded to varying levels of fairness in similar ways to controls, the patients accepted fewer fair offers and engaged less in third-party punishment. Impaired theory of mind in patients reduced the latter, but not the former, group difference to non-signiﬁcance. No signiﬁcant correlations emerged between symptom severity and task performance. Together, these ﬁndings suggest that the understanding of others’ minds partly contributes to the appreciation of social rules and norms in patients with severe chronic courses of schizophrenia.","container-title":"Frontiers in Psychiatry","DOI":"10.3389/fpsyt.2020.00835","ISSN":"1664-0640","journalAbbreviation":"Front. Psychiatry","language":"en","page":"835","source":"DOI.org (Crossref)","title":"Recognition of Social Rule Violation in “Deficit Syndrome” Schizophrenia: A Study Using Economic Games","title-short":"Recognition of Social Rule Violation in “Deficit Syndrome” Schizophrenia","volume":"11","author":[{"family":"Claassen","given":"Christian"},{"family":"Langdon","given":"Robyn"},{"family":"Brüne","given":"Martin"}],"issued":{"date-parts":[["2020",8,21]]}}}],"schema":"https://github.com/citation-style-language/schema/raw/master/csl-citation.json"} </w:instrText>
      </w:r>
      <w:r w:rsidR="001C53A0">
        <w:rPr>
          <w:rFonts w:ascii="Arial" w:hAnsi="Arial" w:cs="Arial"/>
          <w:sz w:val="22"/>
          <w:szCs w:val="22"/>
        </w:rPr>
        <w:fldChar w:fldCharType="separate"/>
      </w:r>
      <w:r w:rsidR="00A107F8">
        <w:rPr>
          <w:rFonts w:ascii="Arial" w:hAnsi="Arial" w:cs="Arial"/>
          <w:noProof/>
          <w:sz w:val="22"/>
          <w:szCs w:val="22"/>
        </w:rPr>
        <w:t>(10,12)</w:t>
      </w:r>
      <w:r w:rsidR="001C53A0">
        <w:rPr>
          <w:rFonts w:ascii="Arial" w:hAnsi="Arial" w:cs="Arial"/>
          <w:sz w:val="22"/>
          <w:szCs w:val="22"/>
        </w:rPr>
        <w:fldChar w:fldCharType="end"/>
      </w:r>
      <w:r w:rsidR="001C53A0">
        <w:rPr>
          <w:rFonts w:ascii="Arial" w:hAnsi="Arial" w:cs="Arial"/>
          <w:sz w:val="22"/>
          <w:szCs w:val="22"/>
        </w:rPr>
        <w:t>.</w:t>
      </w:r>
      <w:bookmarkEnd w:id="0"/>
    </w:p>
    <w:p w14:paraId="465C341E" w14:textId="643E498C" w:rsidR="00374329" w:rsidRPr="004A5FD0" w:rsidRDefault="00CB3803" w:rsidP="00244717">
      <w:pPr>
        <w:pStyle w:val="BodyText"/>
        <w:rPr>
          <w:rFonts w:ascii="Arial" w:hAnsi="Arial" w:cs="Arial"/>
          <w:sz w:val="22"/>
          <w:szCs w:val="22"/>
        </w:rPr>
      </w:pPr>
      <w:r>
        <w:rPr>
          <w:rFonts w:ascii="Arial" w:hAnsi="Arial" w:cs="Arial"/>
          <w:sz w:val="22"/>
          <w:szCs w:val="22"/>
        </w:rPr>
        <w:t>Predictive mechanisms driven by prediction errors (PE), the mismatch between expected and actual outcomes, are central to navigating social interactions and daily functioning</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LeT9XbbP","properties":{"formattedCitation":"(13\\uc0\\u8211{}15)","plainCitation":"(13–15)","noteIndex":0},"citationItems":[{"id":4909,"uris":["http://zotero.org/users/9264269/items/AJG7LN5S"],"itemData":{"id":4909,"type":"article-journal","container-title":"Neural Networks","DOI":"10.1016/s0893-6080(96)00035-4","ISSN":"0893-6080","issue":"8","language":"en","license":"https://www.elsevier.com/tdm/userlicense/1.0/","page":"1265-1279","publisher":"Elsevier BV","source":"Crossref","title":"Forward Models for Physiological Motor Control","volume":"9","author":[{"family":"Miall","given":"R.C."},{"family":"Wolpert","given":"D.M."}],"issued":{"date-parts":[["1996",11]]}}},{"id":4908,"uris":["http://zotero.org/users/9264269/items/DI7W85X3"],"itemData":{"id":4908,"type":"article-journal","abstract":"Associative learning enables animals to anticipate the occurrence of important outcomes. Learning occurs when the actual outcome differs from the predicted outcome, resulting in a prediction error. Neurons in several brain structures appear to code prediction errors in relation to rewards, punishments, external stimuli, and behavioral reactions. In one form, dopamine neurons, norepinephrine neurons, and nucleus basalis neurons broadcast prediction errors as global reinforcement or teaching signals to large postsynaptic structures. In other cases, error signals are coded by selected neurons in the cerebellum, superior colliculus, frontal eye fields, parietal cortex, striatum, and visual system, where they influence specific subgroups of neurons. Prediction errors can be used in postsynaptic structures for the immediate selection of behavior or for synaptic changes underlying behavioral learning. The coding of prediction errors may represent a basic mode of brain function that may also contribute to the processing of sensory information and the short-term control of behavior.","container-title":"Annual Review of Neuroscience","DOI":"10.1146/annurev.neuro.23.1.473","ISSN":"0147-006X, 1545-4126","issue":"1","journalAbbreviation":"Annu. Rev. Neurosci.","language":"en","page":"473-500","publisher":"Annual Reviews","source":"Crossref","title":"Neuronal Coding of Prediction Errors","volume":"23","author":[{"family":"Schultz","given":"Wolfram"},{"family":"Dickinson","given":"Anthony"}],"issued":{"date-parts":[["2000",3]]}}},{"id":943,"uris":["http://zotero.org/users/9264269/items/E6JURRP9"],"itemData":{"id":943,"type":"article-journal","abstract":"This paper considers prediction and perceptual categorization as an inference problem that is solved by the brain. We assume that the brain models the world as a hierarchy or cascade of dynamical systems that encode causal structure in the sensorium. Perception is equated with the optimization or inversion of these internal models, to explain sensory data. Given a model of how sensory data are generated, we can invoke a generic approach to model inversion, based on a free energy bound on the model's evidence. The ensuing free-energy formulation furnishes equations that prescribe the process of recognition, i.e. the dynamics of neuronal activity that represent the causes of sensory input. Here, we focus on a very general model, whose hierarchical and dynamical structure enables simulated brains to recognize and predict trajectories or sequences of sensory states. We first review hierarchical dynamical models and their inversion. We then show that the brain has the necessary infrastructure to implement this inversion and illustrate this point using synthetic birds that can recognize and categorize birdsongs. © 2009 The Royal Society.","container-title":"Philosophical Transactions of the Royal Society B: Biological Sciences","DOI":"10.1098/rstb.2008.0300","ISSN":"14712970","issue":"1521","page":"1211–1221","PMID":"19528002","title":"Predictive coding under the free-energy principle","volume":"364","author":[{"family":"Friston","given":"Karl"},{"family":"Kiebel","given":"Stefan"}],"issued":{"date-parts":[["2009"]]}}}],"schema":"https://github.com/citation-style-language/schema/raw/master/csl-citation.json"} </w:instrText>
      </w:r>
      <w:r w:rsidR="00244717" w:rsidRPr="00244717">
        <w:rPr>
          <w:rFonts w:ascii="Arial" w:hAnsi="Arial" w:cs="Arial"/>
          <w:sz w:val="22"/>
          <w:szCs w:val="22"/>
        </w:rPr>
        <w:fldChar w:fldCharType="separate"/>
      </w:r>
      <w:r w:rsidR="005E438A" w:rsidRPr="005E438A">
        <w:rPr>
          <w:rFonts w:ascii="Arial" w:eastAsiaTheme="minorHAnsi" w:hAnsi="Arial" w:cs="Arial"/>
          <w:sz w:val="22"/>
        </w:rPr>
        <w:t>(13–15)</w:t>
      </w:r>
      <w:r w:rsidR="00244717" w:rsidRPr="00244717">
        <w:rPr>
          <w:rFonts w:ascii="Arial" w:hAnsi="Arial" w:cs="Arial"/>
          <w:sz w:val="22"/>
          <w:szCs w:val="22"/>
        </w:rPr>
        <w:fldChar w:fldCharType="end"/>
      </w:r>
      <w:r w:rsidR="00244717" w:rsidRPr="00244717">
        <w:rPr>
          <w:rFonts w:ascii="Arial" w:hAnsi="Arial" w:cs="Arial"/>
          <w:sz w:val="22"/>
          <w:szCs w:val="22"/>
        </w:rPr>
        <w:t xml:space="preserve">. </w:t>
      </w:r>
      <w:r w:rsidR="004A5FD0">
        <w:rPr>
          <w:rFonts w:ascii="Arial" w:hAnsi="Arial" w:cs="Arial"/>
          <w:sz w:val="22"/>
          <w:szCs w:val="22"/>
        </w:rPr>
        <w:t xml:space="preserve">Neuronally, monitoring these PEs enables effective decision-making </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{"citationID":"iqKrDd9U","properties":{"formattedCitation":"(16)","plainCitation":"(16)","noteIndex":0},"citationItems":[{"id":4834,"uris":["http://zotero.org/users/9264269/items/2VBS8JKB"],"itemData":{"id":4834,"type":"article-journal","container-title":"Dialogues in Clinical Neuroscience","DOI":"10.31887/DCNS.2016.18.1/wschultz","ISSN":"1958-5969","issue":"1","journalAbbreviation":"Dialogues in Clinical Neuroscience","language":"en","note":"number: 1","page":"23-32","source":"DOI.org (Crossref)","title":"Dopamine reward prediction error coding","volume":"18","author":[{"family":"Schultz","given":"Wolfram"}],"issued":{"date-parts":[["2016",3,31]]}}}],"schema":"https://github.com/citation-style-language/schema/raw/master/csl-citation.json"}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(16)</w:t>
      </w:r>
      <w:r w:rsidR="00244717" w:rsidRPr="00244717">
        <w:rPr>
          <w:rFonts w:ascii="Arial" w:hAnsi="Arial" w:cs="Arial"/>
          <w:sz w:val="22"/>
          <w:szCs w:val="22"/>
        </w:rPr>
        <w:fldChar w:fldCharType="end"/>
      </w:r>
      <w:r w:rsidR="004A5FD0">
        <w:rPr>
          <w:rFonts w:ascii="Arial" w:hAnsi="Arial" w:cs="Arial"/>
          <w:sz w:val="22"/>
          <w:szCs w:val="22"/>
        </w:rPr>
        <w:t xml:space="preserve"> and relies on canonical reward hubs like</w:t>
      </w:r>
      <w:r w:rsidR="00374329">
        <w:rPr>
          <w:rFonts w:ascii="Arial" w:hAnsi="Arial" w:cs="Arial"/>
          <w:sz w:val="22"/>
          <w:szCs w:val="22"/>
        </w:rPr>
        <w:t xml:space="preserve"> the basal ganglia, striatum, and anterior cingulate cortex (ACC) </w:t>
      </w:r>
      <w:r w:rsidR="00374329">
        <w:rPr>
          <w:rFonts w:ascii="Arial" w:hAnsi="Arial" w:cs="Arial"/>
          <w:sz w:val="22"/>
          <w:szCs w:val="22"/>
        </w:rPr>
        <w:fldChar w:fldCharType="begin"/>
      </w:r>
      <w:r w:rsidR="00A107F8">
        <w:rPr>
          <w:rFonts w:ascii="Arial" w:hAnsi="Arial" w:cs="Arial"/>
          <w:sz w:val="22"/>
          <w:szCs w:val="22"/>
        </w:rPr>
        <w:instrText xml:space="preserve"> ADDIN ZOTERO_ITEM CSL_CITATION {"citationID":"f0bBcZbP","properties":{"formattedCitation":"(10,17)","plainCitation":"(10,17)","noteIndex":0},"citationItems":[{"id":5457,"uris":["http://zotero.org/users/9264269/items/5A3ZTGED"],"itemData":{"id":5457,"type":"chapter","abstract":"Motivational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M."}],"accessed":{"date-parts":[["2026",4,11]]},"issued":{"date-parts":[["2015"]]}}},{"id":4953,"uris":["http://zotero.org/users/9264269/items/XTJ3WFJY"],"itemData":{"id":4953,"type":"article-journal","container-title":"Human Brain Mapping","DOI":"10.1002/hbm.25453","issue":"11","page":"3547–3560","PMID":"33955106","PMCID":"PMC8249895","title":"Abnormal prediction error processing in schizophrenia and depression","volume":"42","author":[{"family":"Yaple","given":"Z. A."},{"family":"Tolomeo","given":"S."},{"family":"Yu","given":"R."}],"issued":{"date-parts":[["2021"]]}}}],"schema":"https://github.com/citation-style-language/schema/raw/master/csl-citation.json"} </w:instrText>
      </w:r>
      <w:r w:rsidR="00374329">
        <w:rPr>
          <w:rFonts w:ascii="Arial" w:hAnsi="Arial" w:cs="Arial"/>
          <w:sz w:val="22"/>
          <w:szCs w:val="22"/>
        </w:rPr>
        <w:fldChar w:fldCharType="separate"/>
      </w:r>
      <w:r w:rsidR="00A107F8">
        <w:rPr>
          <w:rFonts w:ascii="Arial" w:hAnsi="Arial" w:cs="Arial"/>
          <w:noProof/>
          <w:sz w:val="22"/>
          <w:szCs w:val="22"/>
        </w:rPr>
        <w:t>(10,17)</w:t>
      </w:r>
      <w:r w:rsidR="00374329">
        <w:rPr>
          <w:rFonts w:ascii="Arial" w:hAnsi="Arial" w:cs="Arial"/>
          <w:sz w:val="22"/>
          <w:szCs w:val="22"/>
        </w:rPr>
        <w:fldChar w:fldCharType="end"/>
      </w:r>
      <w:r w:rsidR="004A5FD0">
        <w:rPr>
          <w:rFonts w:ascii="Arial" w:hAnsi="Arial" w:cs="Arial"/>
          <w:sz w:val="22"/>
          <w:szCs w:val="22"/>
        </w:rPr>
        <w:t xml:space="preserve"> with </w:t>
      </w:r>
      <w:r w:rsidR="00374329" w:rsidRPr="00374329">
        <w:rPr>
          <w:rFonts w:ascii="Arial" w:hAnsi="Arial" w:cs="Arial"/>
          <w:sz w:val="22"/>
          <w:szCs w:val="22"/>
        </w:rPr>
        <w:t>the temporoparietal junction (TPJ)</w:t>
      </w:r>
      <w:r w:rsidR="004A5FD0">
        <w:rPr>
          <w:rFonts w:ascii="Arial" w:hAnsi="Arial" w:cs="Arial"/>
          <w:sz w:val="22"/>
          <w:szCs w:val="22"/>
        </w:rPr>
        <w:t xml:space="preserve"> specifically mediating </w:t>
      </w:r>
      <w:r w:rsidR="00374329" w:rsidRPr="00374329">
        <w:rPr>
          <w:rFonts w:ascii="Arial" w:hAnsi="Arial" w:cs="Arial"/>
          <w:sz w:val="22"/>
          <w:szCs w:val="22"/>
        </w:rPr>
        <w:t>social PE formation</w:t>
      </w:r>
      <w:r w:rsidR="00374329">
        <w:rPr>
          <w:rFonts w:ascii="Arial" w:hAnsi="Arial" w:cs="Arial"/>
          <w:sz w:val="22"/>
          <w:szCs w:val="22"/>
        </w:rPr>
        <w:fldChar w:fldCharType="begin"/>
      </w:r>
      <w:r w:rsidR="005E438A">
        <w:rPr>
          <w:rFonts w:ascii="Arial" w:hAnsi="Arial" w:cs="Arial"/>
          <w:sz w:val="22"/>
          <w:szCs w:val="22"/>
        </w:rPr>
        <w:instrText xml:space="preserve"> ADDIN ZOTERO_ITEM CSL_CITATION {"citationID":"4quK6OL6","properties":{"formattedCitation":"(18)","plainCitation":"(18)","noteIndex":0},"citationItems":[{"id":4907,"uris":["http://zotero.org/users/9264269/items/ZKEVK6BB"],"itemData":{"id":4907,"type":"article-journal","abstract":"Abstract               How do people update their impressions of close others? Although people may be motivated to maintain their positive impressions, they may also update their impressions when their expectations are violated (i.e. prediction error). Combining neuroimaging and computational modeling, we test the hypothesis that brain regions associated with theory of mind, especially right temporoparietal junction (rTPJ), underpin both motivated impression maintenance and impression updating evoked by prediction error. Participants had money either given to or taken away from them by a friend or a stranger and were then asked to rate each partner on trustworthiness and closeness across trials. Overall, participants engaged in less impression updating for friends vs strangers. Decreased rTPJ activity in response to a friend’s negative behavior (taking money) was associated with reduced negative updating and increased positive ratings of the friend. However, to the extent that participants did update their impressions (more negative ratings) of friends, this behavioral pattern was explained by greater prediction error and greater rTPJ activity. These findings suggest that rTPJ recruitment represents the integration of prediction error signals and the capacity to overcome people’s motivation to maintain positive impressions of friends in the face of conflicting evidence.","container-title":"Social Cognitive and Affective Neuroscience","DOI":"10.1093/scan/nsaa072","ISSN":"1749-5016, 1749-5024","issue":"8","language":"en","license":"http://creativecommons.org/licenses/by-nc-nd/4.0/","page":"772-781","publisher":"Oxford University Press (OUP)","source":"Crossref","title":"The role of right temporoparietal junction in processing social prediction error across relationship contexts","volume":"16","author":[{"family":"Park","given":"BoKyung"},{"family":"Fareri","given":"Dominic"},{"family":"Delgado","given":"Mauricio"},{"family":"Young","given":"Liane"}],"issued":{"date-parts":[["2021",8,5]]}}}],"schema":"https://github.com/citation-style-language/schema/raw/master/csl-citation.json"} </w:instrText>
      </w:r>
      <w:r w:rsidR="00374329">
        <w:rPr>
          <w:rFonts w:ascii="Arial" w:hAnsi="Arial" w:cs="Arial"/>
          <w:sz w:val="22"/>
          <w:szCs w:val="22"/>
        </w:rPr>
        <w:fldChar w:fldCharType="separate"/>
      </w:r>
      <w:r w:rsidR="005E438A">
        <w:rPr>
          <w:rFonts w:ascii="Arial" w:hAnsi="Arial" w:cs="Arial"/>
          <w:noProof/>
          <w:sz w:val="22"/>
          <w:szCs w:val="22"/>
        </w:rPr>
        <w:t>(18)</w:t>
      </w:r>
      <w:r w:rsidR="00374329">
        <w:rPr>
          <w:rFonts w:ascii="Arial" w:hAnsi="Arial" w:cs="Arial"/>
          <w:sz w:val="22"/>
          <w:szCs w:val="22"/>
        </w:rPr>
        <w:fldChar w:fldCharType="end"/>
      </w:r>
      <w:r w:rsidR="00374329" w:rsidRPr="00374329">
        <w:rPr>
          <w:rFonts w:ascii="Arial" w:hAnsi="Arial" w:cs="Arial"/>
          <w:sz w:val="22"/>
          <w:szCs w:val="22"/>
        </w:rPr>
        <w:t>.</w:t>
      </w:r>
      <w:r w:rsidR="004A5FD0" w:rsidRPr="004A5FD0">
        <w:rPr>
          <w:rFonts w:ascii="Arial" w:hAnsi="Arial" w:cs="Arial"/>
          <w:sz w:val="22"/>
          <w:szCs w:val="22"/>
        </w:rPr>
        <w:t xml:space="preserve"> </w:t>
      </w:r>
      <w:r w:rsidR="004A5FD0" w:rsidRPr="00CB3803">
        <w:rPr>
          <w:rFonts w:ascii="Arial" w:hAnsi="Arial" w:cs="Arial"/>
          <w:sz w:val="22"/>
          <w:szCs w:val="22"/>
        </w:rPr>
        <w:t>Computational psychiatry provides a mechanistic framework to isolate the specific drivers of these social learning deficits. By fitting trial-by-trial choices to reinforcement learning algorithms, aberrant behavior can be decomposed into distinct parameters: the learning rate (</w:t>
      </w:r>
      <m:oMath>
        <m:r>
          <w:rPr>
            <w:rFonts w:ascii="Cambria Math" w:hAnsi="Cambria Math" w:cs="Arial"/>
            <w:sz w:val="22"/>
            <w:szCs w:val="22"/>
          </w:rPr>
          <m:t>α</m:t>
        </m:r>
      </m:oMath>
      <w:r w:rsidR="004A5FD0" w:rsidRPr="00CB3803">
        <w:rPr>
          <w:rFonts w:ascii="Arial" w:hAnsi="Arial" w:cs="Arial"/>
          <w:sz w:val="22"/>
          <w:szCs w:val="22"/>
        </w:rPr>
        <w:t>), which governs how quickly expectations are updated in response to a prediction error (PE), and inverse temperature (</w:t>
      </w:r>
      <m:oMath>
        <m:r>
          <w:rPr>
            <w:rFonts w:ascii="Cambria Math" w:hAnsi="Cambria Math" w:cs="Arial"/>
            <w:sz w:val="22"/>
            <w:szCs w:val="22"/>
          </w:rPr>
          <m:t>β</m:t>
        </m:r>
      </m:oMath>
      <w:r w:rsidR="004A5FD0" w:rsidRPr="00CB3803">
        <w:rPr>
          <w:rFonts w:ascii="Arial" w:hAnsi="Arial" w:cs="Arial"/>
          <w:sz w:val="22"/>
          <w:szCs w:val="22"/>
        </w:rPr>
        <w:t>), which indexes the precision or "noise" of the decision-making process.</w:t>
      </w:r>
    </w:p>
    <w:p w14:paraId="28F43236" w14:textId="2AA6B317" w:rsidR="00244717" w:rsidRDefault="004A5FD0" w:rsidP="00244717">
      <w:pPr>
        <w:pStyle w:val="BodyText"/>
        <w:rPr>
          <w:rFonts w:ascii="Arial" w:hAnsi="Arial" w:cs="Arial"/>
          <w:sz w:val="22"/>
          <w:szCs w:val="22"/>
        </w:rPr>
      </w:pPr>
      <w:r>
        <w:rPr>
          <w:rFonts w:ascii="Arial" w:hAnsi="Arial" w:cs="Arial"/>
          <w:sz w:val="22"/>
          <w:szCs w:val="22"/>
        </w:rPr>
        <w:t>SZ</w:t>
      </w:r>
      <w:r w:rsidR="00244717" w:rsidRPr="00244717">
        <w:rPr>
          <w:rFonts w:ascii="Arial" w:hAnsi="Arial" w:cs="Arial"/>
          <w:sz w:val="22"/>
          <w:szCs w:val="22"/>
        </w:rPr>
        <w:t xml:space="preserve"> is characterized by abnormal neural activation during prediction error (PE) formation. Patients exhibit reduced activation in the right superior and inferior frontal lobes, but increased activation in the posterior cingulate cortex (PCC), suggesting impaired self-referential prediction</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{"citationID":"a2ij4ac985a","properties":{"formattedCitation":"(19)","plainCitation":"(19)","noteIndex":0},"citationItems":[{"id":4798,"uris":["http://zotero.org/users/9264269/items/S59JGGFR"],"itemData":{"id":4798,"type":"article-journal","container-title":"Human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(19)</w:t>
      </w:r>
      <w:r w:rsidR="00244717" w:rsidRPr="00244717">
        <w:rPr>
          <w:rFonts w:ascii="Arial" w:hAnsi="Arial" w:cs="Arial"/>
          <w:sz w:val="22"/>
          <w:szCs w:val="22"/>
        </w:rPr>
        <w:fldChar w:fldCharType="end"/>
      </w:r>
      <w:r w:rsidR="00244717" w:rsidRPr="00244717">
        <w:rPr>
          <w:rFonts w:ascii="Arial" w:hAnsi="Arial" w:cs="Arial"/>
          <w:sz w:val="22"/>
          <w:szCs w:val="22"/>
        </w:rPr>
        <w:t xml:space="preserve">. Negative PE shows differences in </w:t>
      </w:r>
      <w:proofErr w:type="spellStart"/>
      <w:r w:rsidR="00244717" w:rsidRPr="00244717">
        <w:rPr>
          <w:rFonts w:ascii="Arial" w:hAnsi="Arial" w:cs="Arial"/>
          <w:sz w:val="22"/>
          <w:szCs w:val="22"/>
        </w:rPr>
        <w:t>mPFC</w:t>
      </w:r>
      <w:proofErr w:type="spellEnd"/>
      <w:r w:rsidR="00244717" w:rsidRPr="00244717">
        <w:rPr>
          <w:rFonts w:ascii="Arial" w:hAnsi="Arial" w:cs="Arial"/>
          <w:sz w:val="22"/>
          <w:szCs w:val="22"/>
        </w:rPr>
        <w:t xml:space="preserve"> and right middle frontal cortex activations</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{"citationID":"a2ec4lccs41","properties":{"formattedCitation":"(19,20)","plainCitation":"(19,20)","noteIndex":0},"citationItems":[{"id":4798,"uris":["http://zotero.org/users/9264269/items/S59JGGFR"],"itemData":{"id":4798,"type":"article-journal","container-title":"Human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Adam"},{"family":"Tolomeo","given":"Serenella"},{"family":"Yu","given":"Rongjun"}],"issued":{"date-parts":[["2021",8]]}}},{"id":4906,"uris":["http://zotero.org/users/9264269/items/6CH4QNWF"],"itemData":{"id":4906,"type":"article-journal","container-title":"Journal of Abnormal Psychology","DOI":"10.1037/abn0000137","ISSN":"1939-1846, 0021-843X","issue":"3","language":"en","license":"http://www.apa.org/pubs/journals/resources/open-access.aspx","page":"453-469","publisher":"American Psychological Association (APA)","source":"Crossref","title":"Frontal-striatum dysfunction during reward processing: Relationships to amotivation in schizophrenia.","title-short":"Frontal-striatum dysfunction during reward processing","volume":"125","author":[{"family":"Chung","given":"Yu Sun"},{"family":"Barch","given":"Deanna M."}],"issued":{"date-parts":[["2016",4]]}}}],"schema":"https://github.com/citation-style-language/schema/raw/master/csl-citation.json"}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(19,20)</w:t>
      </w:r>
      <w:r w:rsidR="00244717" w:rsidRPr="00244717">
        <w:rPr>
          <w:rFonts w:ascii="Arial" w:hAnsi="Arial" w:cs="Arial"/>
          <w:sz w:val="22"/>
          <w:szCs w:val="22"/>
        </w:rPr>
        <w:fldChar w:fldCharType="end"/>
      </w:r>
      <w:r w:rsidR="00244717" w:rsidRPr="00244717">
        <w:rPr>
          <w:rFonts w:ascii="Arial" w:hAnsi="Arial" w:cs="Arial"/>
          <w:sz w:val="22"/>
          <w:szCs w:val="22"/>
        </w:rPr>
        <w:t>. In positive prediction error, impairments are manifested by deactivation in PFC, which may explain the avolition among negative findings</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{"citationID":"aa2lnlcqf2","properties":{"formattedCitation":"(21)","plainCitation":"(21)","noteIndex":0},"citationItems":[{"id":4804,"uris":["http://zotero.org/users/9264269/items/2MF4KWPP"],"itemData":{"id":4804,"type":"article-journal","abstract":"Abstract\n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(21)</w:t>
      </w:r>
      <w:r w:rsidR="00244717" w:rsidRPr="00244717">
        <w:rPr>
          <w:rFonts w:ascii="Arial" w:hAnsi="Arial" w:cs="Arial"/>
          <w:sz w:val="22"/>
          <w:szCs w:val="22"/>
        </w:rPr>
        <w:fldChar w:fldCharType="end"/>
      </w:r>
      <w:r w:rsidR="00244717" w:rsidRPr="00244717">
        <w:rPr>
          <w:rFonts w:ascii="Arial" w:hAnsi="Arial" w:cs="Arial"/>
          <w:sz w:val="22"/>
          <w:szCs w:val="22"/>
        </w:rPr>
        <w:t>. It has also been suggested that impaired PE calculations in schizophrenia might be associated with the delusions formation</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1t96ldhkmm","properties":{"formattedCitation":"(22,23)","plainCitation":"(22,23)","noteIndex":0},"citationItems":[{"id":88,"uris":["http://zotero.org/users/9264269/items/LYNW6AFR"],"itemData":{"id":88,"type":"article-journal","container-title":"Brain","DOI":"10.1093/brain/awm173","ISSN":"0006-8950, 1460-2156","issue":"9","journalAbbreviation":"Brain","language":"en","page":"2387-2400","source":"DOI.org (Crossref)","title":"Disrupted prediction-error signal in psychosis: evidence for an associative account of delusions","title-short":"Disrupted prediction-error signal in psychosis","volume":"130","author":[{"family":"Corlett","given":"P.R."},{"family":"Murray","given":"G.K."},{"family":"Honey","given":"G.D."},{"family":"Aitken","given":"M.R.F."},{"family":"Shanks","given":"D.R."},{"family":"Robbins","given":"T.W."},{"family":"Bullmore","given":"E.T."},{"family":"Dickinson","given":"A."},{"family":"Fletcher","given":"P.C."}],"issued":{"date-parts":[["2007",9,1]]}}},{"id":4905,"uris":["http://zotero.org/users/9264269/items/Y85BN47I"],"itemData":{"id":4905,"type":"article-journal","container-title":"Cognitive Neuropsychiatry","DOI":"10.1080/13546805.2014.897601","ISSN":"1354-6805, 1464-0619","issue":"5","language":"en","page":"439-467","publisher":"Informa UK Limited","source":"Crossref","title":"Delusions and prediction error: re-examining the behavioural evidence for disrupted error signalling in delusion formation","title-short":"Delusions and prediction error","volume":"19","author":[{"family":"Griffiths","given":"Oren"},{"family":"Langdon","given":"Robyn"},{"family":"Le Pelley","given":"Mike E."},{"family":"Coltheart","given":"Max"}],"issued":{"date-parts":[["2014",9,3]]}}}],"schema":"https://github.com/citation-style-language/schema/raw/master/csl-citation.json"}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(22,23)</w:t>
      </w:r>
      <w:r w:rsidR="00244717" w:rsidRPr="00244717">
        <w:rPr>
          <w:rFonts w:ascii="Arial" w:hAnsi="Arial" w:cs="Arial"/>
          <w:sz w:val="22"/>
          <w:szCs w:val="22"/>
        </w:rPr>
        <w:fldChar w:fldCharType="end"/>
      </w:r>
      <w:r w:rsidR="00244717" w:rsidRPr="00244717">
        <w:rPr>
          <w:rFonts w:ascii="Arial" w:hAnsi="Arial" w:cs="Arial"/>
          <w:sz w:val="22"/>
          <w:szCs w:val="22"/>
        </w:rPr>
        <w:t xml:space="preserve">. </w:t>
      </w:r>
    </w:p>
    <w:p w14:paraId="3F0D3AF0" w14:textId="77777777" w:rsidR="006D7D82" w:rsidRDefault="004A5FD0" w:rsidP="004A5FD0">
      <w:pPr>
        <w:pStyle w:val="BodyText"/>
        <w:rPr>
          <w:rFonts w:ascii="Arial" w:hAnsi="Arial" w:cs="Arial"/>
          <w:sz w:val="22"/>
          <w:szCs w:val="22"/>
        </w:rPr>
      </w:pPr>
      <w:r>
        <w:rPr>
          <w:rFonts w:ascii="Arial" w:hAnsi="Arial" w:cs="Arial"/>
          <w:sz w:val="22"/>
          <w:szCs w:val="22"/>
        </w:rPr>
        <w:t xml:space="preserve">In SZ, abnormal dopaminergic firing fundamentally disrupts PE signaling, </w:t>
      </w:r>
      <w:r w:rsidR="00244717" w:rsidRPr="00244717">
        <w:rPr>
          <w:rFonts w:ascii="Arial" w:hAnsi="Arial" w:cs="Arial"/>
          <w:sz w:val="22"/>
          <w:szCs w:val="22"/>
        </w:rPr>
        <w:t>lead</w:t>
      </w:r>
      <w:r>
        <w:rPr>
          <w:rFonts w:ascii="Arial" w:hAnsi="Arial" w:cs="Arial"/>
          <w:sz w:val="22"/>
          <w:szCs w:val="22"/>
        </w:rPr>
        <w:t>ing</w:t>
      </w:r>
      <w:r w:rsidR="00244717" w:rsidRPr="00244717">
        <w:rPr>
          <w:rFonts w:ascii="Arial" w:hAnsi="Arial" w:cs="Arial"/>
          <w:sz w:val="22"/>
          <w:szCs w:val="22"/>
        </w:rPr>
        <w:t xml:space="preserve"> to aberrant PE attribution to irrelevant stimuli</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26ai8lk27r","properties":{"formattedCitation":"(24\\uc0\\u8211{}26)","plainCitation":"(24–26)","noteIndex":0},"citationItems":[{"id":911,"uris":["http://zotero.org/users/9264269/items/DZWH2SA5"],"itemData":{"id":911,"type":"article-journal","abstract":"Schizophrenia remains a major burden on patients and society. The dopamine hypothesis attempts to explain the pathogenic mechanisms of the disorder, and the neurodevelopmental hypothesis the origins. In the past 10 years an alternative, the cognitive model, has gained popularity. However, the first two theories have not been satisfactorily integrated, and the most influential iteration of the cognitive model makes no mention of dopamine, neurodevelopment, or indeed the brain. In this Review we show that developmental alterations secondary to variant genes, early hazards to the brain, and childhood adversity sensitise the dopamine system, and result in excessive presynaptic dopamine synthesis and release. Social adversity biases the cognitive schema that the individual uses to interpret experiences towards paranoid interpretations. Subsequent stress results in dysregulated dopamine release, causing the misattribution of salience to stimuli, which are then misinterpreted by the biased cognitive processes. The resulting paranoia and hallucinations in turn cause further stress, and eventually repeated dopamine dysregulation hardwires the psychotic beliefs. Finally, we consider the implications of this model for understanding and treatment of schizophrenia.","container-title":"The Lancet","DOI":"10.1016/S0140-6736(13)62036-X","ISSN":"1474547X","issue":"9929","page":"1677–1687","PMID":"24315522","publisher":"Elsevier Ltd","title":"Schizophrenia: An integrated sociodevelopmental-cognitive model","volume":"383","author":[{"family":"Howes","given":"Oliver D."},{"family":"Murray","given":"Robin M."}],"issued":{"date-parts":[["2014"]]}}},{"id":4902,"uris":["http://zotero.org/users/9264269/items/FV6RPVSJ"],"itemData":{"id":4902,"type":"article-journal","container-title":"Schizophrenia Bulletin","DOI":"10.1093/schbul/sbq031","ISSN":"0586-7614, 1745-1701","issue":"3","language":"en","page":"472-485","publisher":"Oxford University Press (OUP)","source":"Crossref","title":"Dopaminergic Dysfunction in Schizophrenia: Salience Attribution Revisited","title-short":"Dopaminergic Dysfunction in Schizophrenia","volume":"36","author":[{"family":"Heinz","given":"A."},{"family":"Schlagenhauf","given":"F."}],"issued":{"date-parts":[["2010",5,1]]}}},{"id":4901,"uris":["http://zotero.org/users/9264269/items/TDNS4UJE"],"itemData":{"id":4901,"type":"article-journal","container-title":"American Journal of Psychiatry","DOI":"10.1176/appi.ajp.160.1.13","ISSN":"0002-953X, 1535-7228","issue":"1","journalAbbreviation":"AJP","language":"en","page":"13-23","publisher":"American Psychiatric Association Publishing","source":"Crossref","title":"Psychosis as a State of Aberrant Salience: A Framework Linking Biology, Phenomenology, and Pharmacology in Schizophrenia","title-short":"Psychosis as a State of Aberrant Salience","volume":"160","author":[{"family":"Kapur","given":"Shitij"}],"issued":{"date-parts":[["2003",1,1]]}}}],"schema":"https://github.com/citation-style-language/schema/raw/master/csl-citation.json"} </w:instrText>
      </w:r>
      <w:r w:rsidR="00244717" w:rsidRPr="00244717">
        <w:rPr>
          <w:rFonts w:ascii="Arial" w:hAnsi="Arial" w:cs="Arial"/>
          <w:sz w:val="22"/>
          <w:szCs w:val="22"/>
        </w:rPr>
        <w:fldChar w:fldCharType="separate"/>
      </w:r>
      <w:r w:rsidR="005E438A" w:rsidRPr="005E438A">
        <w:rPr>
          <w:rFonts w:ascii="Arial" w:eastAsiaTheme="minorHAnsi" w:hAnsi="Arial" w:cs="Arial"/>
          <w:sz w:val="22"/>
        </w:rPr>
        <w:t>(24–26)</w:t>
      </w:r>
      <w:r w:rsidR="00244717" w:rsidRPr="00244717">
        <w:rPr>
          <w:rFonts w:ascii="Arial" w:hAnsi="Arial" w:cs="Arial"/>
          <w:sz w:val="22"/>
          <w:szCs w:val="22"/>
        </w:rPr>
        <w:fldChar w:fldCharType="end"/>
      </w:r>
      <w:r>
        <w:rPr>
          <w:rFonts w:ascii="Arial" w:hAnsi="Arial" w:cs="Arial"/>
          <w:sz w:val="22"/>
          <w:szCs w:val="22"/>
        </w:rPr>
        <w:t xml:space="preserve">. </w:t>
      </w:r>
      <w:r w:rsidR="006D7D82">
        <w:rPr>
          <w:rFonts w:ascii="Arial" w:hAnsi="Arial" w:cs="Arial"/>
          <w:sz w:val="22"/>
          <w:szCs w:val="22"/>
        </w:rPr>
        <w:t xml:space="preserve">While gradual PE learning relies on the basal ganglia, rapid learning and outcome monitoring require intact frontal and cingulate networks </w:t>
      </w:r>
      <w:r w:rsidR="006D7D82">
        <w:rPr>
          <w:rFonts w:ascii="Arial" w:hAnsi="Arial" w:cs="Arial"/>
          <w:sz w:val="22"/>
          <w:szCs w:val="22"/>
        </w:rPr>
        <w:fldChar w:fldCharType="begin"/>
      </w:r>
      <w:r w:rsidR="006D7D82">
        <w:rPr>
          <w:rFonts w:ascii="Arial" w:hAnsi="Arial" w:cs="Arial"/>
          <w:sz w:val="22"/>
          <w:szCs w:val="22"/>
        </w:rPr>
        <w:instrText xml:space="preserve"> ADDIN ZOTERO_ITEM CSL_CITATION {"citationID":"Nt4KtmUI","properties":{"formattedCitation":"(10)","plainCitation":"(10)","noteIndex":0},"citationItems":[{"id":5457,"uris":["http://zotero.org/users/9264269/items/5A3ZTGED"],"itemData":{"id":5457,"type":"chapter","abstract":"Motivational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6D7D82">
        <w:rPr>
          <w:rFonts w:ascii="Arial" w:hAnsi="Arial" w:cs="Arial"/>
          <w:sz w:val="22"/>
          <w:szCs w:val="22"/>
        </w:rPr>
        <w:fldChar w:fldCharType="separate"/>
      </w:r>
      <w:r w:rsidR="006D7D82">
        <w:rPr>
          <w:rFonts w:ascii="Arial" w:hAnsi="Arial" w:cs="Arial"/>
          <w:noProof/>
          <w:sz w:val="22"/>
          <w:szCs w:val="22"/>
        </w:rPr>
        <w:t>(10)</w:t>
      </w:r>
      <w:r w:rsidR="006D7D82">
        <w:rPr>
          <w:rFonts w:ascii="Arial" w:hAnsi="Arial" w:cs="Arial"/>
          <w:sz w:val="22"/>
          <w:szCs w:val="22"/>
        </w:rPr>
        <w:fldChar w:fldCharType="end"/>
      </w:r>
      <w:r w:rsidR="006D7D82">
        <w:rPr>
          <w:rFonts w:ascii="Arial" w:hAnsi="Arial" w:cs="Arial"/>
          <w:sz w:val="22"/>
          <w:szCs w:val="22"/>
        </w:rPr>
        <w:t xml:space="preserve">. However, the failure of SZ patients to learn from reward-predictive stimuli is largely attributed to ‘hypo-frontality’, characterized by reduced D1 receptor density in PFC </w:t>
      </w:r>
      <w:r w:rsidR="006D7D82">
        <w:rPr>
          <w:rFonts w:ascii="Arial" w:hAnsi="Arial" w:cs="Arial"/>
          <w:sz w:val="22"/>
          <w:szCs w:val="22"/>
        </w:rPr>
        <w:fldChar w:fldCharType="begin"/>
      </w:r>
      <w:r w:rsidR="006D7D82">
        <w:rPr>
          <w:rFonts w:ascii="Arial" w:hAnsi="Arial" w:cs="Arial"/>
          <w:sz w:val="22"/>
          <w:szCs w:val="22"/>
        </w:rPr>
        <w:instrText xml:space="preserve"> ADDIN ZOTERO_ITEM CSL_CITATION {"citationID":"52YxXEOt","properties":{"formattedCitation":"(21)","plainCitation":"(21)","noteIndex":0},"citationItems":[{"id":4804,"uris":["http://zotero.org/users/9264269/items/2MF4KWPP"],"itemData":{"id":4804,"type":"article-journal","abstract":"Abstract\n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J."}],"issued":{"date-parts":[["2022",2]]}},"locator":"202"}],"schema":"https://github.com/citation-style-language/schema/raw/master/csl-citation.json"} </w:instrText>
      </w:r>
      <w:r w:rsidR="006D7D82">
        <w:rPr>
          <w:rFonts w:ascii="Arial" w:hAnsi="Arial" w:cs="Arial"/>
          <w:sz w:val="22"/>
          <w:szCs w:val="22"/>
        </w:rPr>
        <w:fldChar w:fldCharType="separate"/>
      </w:r>
      <w:r w:rsidR="006D7D82">
        <w:rPr>
          <w:rFonts w:ascii="Arial" w:hAnsi="Arial" w:cs="Arial"/>
          <w:noProof/>
          <w:sz w:val="22"/>
          <w:szCs w:val="22"/>
        </w:rPr>
        <w:t>(21)</w:t>
      </w:r>
      <w:r w:rsidR="006D7D82">
        <w:rPr>
          <w:rFonts w:ascii="Arial" w:hAnsi="Arial" w:cs="Arial"/>
          <w:sz w:val="22"/>
          <w:szCs w:val="22"/>
        </w:rPr>
        <w:fldChar w:fldCharType="end"/>
      </w:r>
      <w:r w:rsidR="006D7D82">
        <w:rPr>
          <w:rFonts w:ascii="Arial" w:hAnsi="Arial" w:cs="Arial"/>
          <w:sz w:val="22"/>
          <w:szCs w:val="22"/>
        </w:rPr>
        <w:t>.</w:t>
      </w:r>
    </w:p>
    <w:p w14:paraId="6EF4BBA4" w14:textId="63F59DE3" w:rsidR="006D7D82" w:rsidRDefault="006D7D82" w:rsidP="006D7D82">
      <w:pPr>
        <w:pStyle w:val="BodyText"/>
        <w:rPr>
          <w:rFonts w:ascii="Arial" w:hAnsi="Arial" w:cs="Arial"/>
          <w:sz w:val="22"/>
          <w:szCs w:val="22"/>
        </w:rPr>
      </w:pPr>
      <w:r w:rsidRPr="00802B34">
        <w:rPr>
          <w:rFonts w:ascii="Arial" w:hAnsi="Arial" w:cs="Arial"/>
          <w:sz w:val="22"/>
          <w:szCs w:val="22"/>
        </w:rPr>
        <w:t xml:space="preserve">Similarly, monitoring regions are compromised; imaging studies report that </w:t>
      </w:r>
      <w:r w:rsidR="005C7A15">
        <w:rPr>
          <w:rFonts w:ascii="Arial" w:hAnsi="Arial" w:cs="Arial"/>
          <w:sz w:val="22"/>
          <w:szCs w:val="22"/>
        </w:rPr>
        <w:t>SZ</w:t>
      </w:r>
      <w:r w:rsidRPr="00802B34">
        <w:rPr>
          <w:rFonts w:ascii="Arial" w:hAnsi="Arial" w:cs="Arial"/>
          <w:sz w:val="22"/>
          <w:szCs w:val="22"/>
        </w:rPr>
        <w:t xml:space="preserve"> patients display reduced </w:t>
      </w:r>
      <w:r>
        <w:rPr>
          <w:rFonts w:ascii="Arial" w:hAnsi="Arial" w:cs="Arial"/>
          <w:sz w:val="22"/>
          <w:szCs w:val="22"/>
        </w:rPr>
        <w:t>PE</w:t>
      </w:r>
      <w:r w:rsidRPr="00802B34">
        <w:rPr>
          <w:rFonts w:ascii="Arial" w:hAnsi="Arial" w:cs="Arial"/>
          <w:sz w:val="22"/>
          <w:szCs w:val="22"/>
        </w:rPr>
        <w:t xml:space="preserve"> signals associated with the </w:t>
      </w:r>
      <w:r>
        <w:rPr>
          <w:rFonts w:ascii="Arial" w:hAnsi="Arial" w:cs="Arial"/>
          <w:sz w:val="22"/>
          <w:szCs w:val="22"/>
        </w:rPr>
        <w:t>ACC</w:t>
      </w:r>
      <w:r w:rsidRPr="00802B34">
        <w:rPr>
          <w:rFonts w:ascii="Arial" w:hAnsi="Arial" w:cs="Arial"/>
          <w:sz w:val="22"/>
          <w:szCs w:val="22"/>
        </w:rPr>
        <w:t xml:space="preserve">, alongside concordant altered activity in the </w:t>
      </w:r>
      <w:r>
        <w:rPr>
          <w:rFonts w:ascii="Arial" w:hAnsi="Arial" w:cs="Arial"/>
          <w:sz w:val="22"/>
          <w:szCs w:val="22"/>
        </w:rPr>
        <w:t>PCC</w:t>
      </w:r>
      <w:r>
        <w:rPr>
          <w:rFonts w:ascii="Arial" w:hAnsi="Arial" w:cs="Arial"/>
          <w:sz w:val="22"/>
          <w:szCs w:val="22"/>
        </w:rPr>
        <w:fldChar w:fldCharType="begin"/>
      </w:r>
      <w:r>
        <w:rPr>
          <w:rFonts w:ascii="Arial" w:hAnsi="Arial" w:cs="Arial"/>
          <w:sz w:val="22"/>
          <w:szCs w:val="22"/>
        </w:rPr>
        <w:instrText xml:space="preserve"> ADDIN ZOTERO_ITEM CSL_CITATION {"citationID":"0XX18MHb","properties":{"formattedCitation":"(17)","plainCitation":"(17)","noteIndex":0},"citationItems":[{"id":4953,"uris":["http://zotero.org/users/9264269/items/XTJ3WFJY"],"itemData":{"id":4953,"type":"article-journal","container-title":"Human Brain Mapping","DOI":"10.1002/hbm.25453","issue":"11","page":"3547–3560","PMID":"33955106","PMCID":"PMC8249895","title":"Abnormal prediction error processing in schizophrenia and depression","volume":"42","author":[{"family":"Yaple","given":"Z. A."},{"family":"Tolomeo","given":"S."},{"family":"Yu","given":"R."}],"issued":{"date-parts":[["2021"]]}}}],"schema":"https://github.com/citation-style-language/schema/raw/master/csl-citation.json"}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(17)</w:t>
      </w:r>
      <w:r>
        <w:rPr>
          <w:rFonts w:ascii="Arial" w:hAnsi="Arial" w:cs="Arial"/>
          <w:sz w:val="22"/>
          <w:szCs w:val="22"/>
        </w:rPr>
        <w:fldChar w:fldCharType="end"/>
      </w:r>
      <w:r>
        <w:rPr>
          <w:rFonts w:ascii="Arial" w:hAnsi="Arial" w:cs="Arial"/>
          <w:sz w:val="22"/>
          <w:szCs w:val="22"/>
        </w:rPr>
        <w:t xml:space="preserve">. Consequently, because this core reward and monitoring circuitry (striatum, PFC, and ACC/PCC) is heavily disrupted, it fails to appropriately interact with temporal and </w:t>
      </w:r>
      <w:proofErr w:type="spellStart"/>
      <w:r>
        <w:rPr>
          <w:rFonts w:ascii="Arial" w:hAnsi="Arial" w:cs="Arial"/>
          <w:sz w:val="22"/>
          <w:szCs w:val="22"/>
        </w:rPr>
        <w:t>extrastriate</w:t>
      </w:r>
      <w:proofErr w:type="spellEnd"/>
      <w:r>
        <w:rPr>
          <w:rFonts w:ascii="Arial" w:hAnsi="Arial" w:cs="Arial"/>
          <w:sz w:val="22"/>
          <w:szCs w:val="22"/>
        </w:rPr>
        <w:t xml:space="preserve"> visual networks such as fusiform gyrus</w:t>
      </w:r>
      <w:r>
        <w:rPr>
          <w:rFonts w:ascii="Arial" w:hAnsi="Arial" w:cs="Arial"/>
          <w:sz w:val="22"/>
          <w:szCs w:val="22"/>
        </w:rPr>
        <w:fldChar w:fldCharType="begin"/>
      </w:r>
      <w:r>
        <w:rPr>
          <w:rFonts w:ascii="Arial" w:hAnsi="Arial" w:cs="Arial"/>
          <w:sz w:val="22"/>
          <w:szCs w:val="22"/>
        </w:rPr>
        <w:instrText xml:space="preserve"> ADDIN ZOTERO_ITEM CSL_CITATION {"citationID":"uQowXPBA","properties":{"formattedCitation":"(27)","plainCitation":"(27)","noteIndex":0},"citationItems":[{"id":707,"uris":["http://zotero.org/users/9264269/items/62HXSG2Y"],"itemData":{"id":707,"type":"article-journal","abstract":"Social learning is fundamental to human interactions, yet its computational and physiological mechanisms are not well understood. One prominent open question concerns the role of neuromodulatory transmitters. We combined fMRI, computational modelling and genetics to address this question in two separate samples (N1/435, N1/447). Participants played a game requiring inference on an adviser's intentions whose motivation to help or mislead changed over time. Our analyses suggest that hierarchically structured belief updates about current advice validity and the adviser's trustworthiness, respectively, depend on different neuromodulatory systems. Low-level prediction errors (PEs) about advice accuracy not only activated regions known to support 'theory of mind', but also the dopaminergic midbrain. Furthermore, PE responses in ventral striatum were influenced by the Met/Val polymorphismof the Catechol-O-Methyltransferase (COMT) gene. By contrast, high-level PEs ('expected uncertainty') about the adviser's fidelity activated the cholinergic septum. These findings, replicated in both samples, have important implications: They suggest that social learning rests on hierarchically related PEs encoded by midbrain and septum activity, respectively, in the same manner as other forms of learning under volatility. Furthermore, these hierarchical PEs may be broadcast by dopaminergic and cholinergic projections to induce plasticity specifically in cortical areas known to represent beliefs about others.","container-title":"Social Cognitive and Affective Neuroscience","DOI":"10.1093/scan/nsw171","ISSN":"17495024","issue":"4","page":"618–634","PMID":"28119508","title":"Hierarchical prediction errors in midbrain and septum during social learning","volume":"12","author":[{"family":"Diaconescu","given":"Andreea O."},{"family":"Mathys","given":"Christoph"},{"family":"Weber","given":"Lilian A.E."},{"family":"Kasper","given":"Lars"},{"family":"Mauer","given":"Jan"},{"family":"Stephan","given":"Klaas E."}],"issued":{"date-parts":[["2017"]]}}}],"schema":"https://github.com/citation-style-language/schema/raw/master/csl-citation.json"}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(27)</w:t>
      </w:r>
      <w:r>
        <w:rPr>
          <w:rFonts w:ascii="Arial" w:hAnsi="Arial" w:cs="Arial"/>
          <w:sz w:val="22"/>
          <w:szCs w:val="22"/>
        </w:rPr>
        <w:fldChar w:fldCharType="end"/>
      </w:r>
      <w:r>
        <w:rPr>
          <w:rFonts w:ascii="Arial" w:hAnsi="Arial" w:cs="Arial"/>
          <w:sz w:val="22"/>
          <w:szCs w:val="22"/>
        </w:rPr>
        <w:t xml:space="preserve">. This breakdown leaves patients unable to </w:t>
      </w:r>
      <w:r>
        <w:rPr>
          <w:rFonts w:ascii="Arial" w:hAnsi="Arial" w:cs="Arial"/>
          <w:sz w:val="22"/>
          <w:szCs w:val="22"/>
        </w:rPr>
        <w:lastRenderedPageBreak/>
        <w:t>accurately evaluate human partners, monitor feedback and compute expected value of social cooperation</w:t>
      </w:r>
      <w:r>
        <w:rPr>
          <w:rFonts w:ascii="Arial" w:hAnsi="Arial" w:cs="Arial"/>
          <w:sz w:val="22"/>
          <w:szCs w:val="22"/>
        </w:rPr>
        <w:fldChar w:fldCharType="begin"/>
      </w:r>
      <w:r>
        <w:rPr>
          <w:rFonts w:ascii="Arial" w:hAnsi="Arial" w:cs="Arial"/>
          <w:sz w:val="22"/>
          <w:szCs w:val="22"/>
        </w:rPr>
        <w:instrText xml:space="preserve"> ADDIN ZOTERO_ITEM CSL_CITATION {"citationID":"8S66XGuT","properties":{"formattedCitation":"(10,12)","plainCitation":"(10,12)","noteIndex":0},"citationItems":[{"id":5457,"uris":["http://zotero.org/users/9264269/items/5A3ZTGED"],"itemData":{"id":5457,"type":"chapter","abstract":"Motivational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M."}],"accessed":{"date-parts":[["2026",4,11]]},"issued":{"date-parts":[["2015"]]}}},{"id":5456,"uris":["http://zotero.org/users/9264269/items/37S67Y2R"],"itemData":{"id":5456,"type":"article-journal","abstract":"Aberrant social behavior is a frequent clinical feature of schizophrenia and seems related to the duration and chronicity of the disorder. However, there is a paucity of research into the relationship between social behavior and social cognition in patients with severe chronic courses of schizophrenia. Accordingly, the present study sought to examine the appreciation of social rules and norms such as fairness and cooperation in schizophrenia patients who fulﬁlled the criteria for “deﬁcit syndrome”. To this end, we utilized a so-called Ultimatum Game, and a Dictator Game, in which participants had the option to punish others’ unfair behavior. In addition, “theory of mind”, the ability to appreciate others’ mental states, was also examined using the Mental State Attribution Task (MSAT). Symptom severity was determined using the Positive and Negative Syndrome Scale. While patients with deﬁcit schizophrenia responded to varying levels of fairness in similar ways to controls, the patients accepted fewer fair offers and engaged less in third-party punishment. Impaired theory of mind in patients reduced the latter, but not the former, group difference to non-signiﬁcance. No signiﬁcant correlations emerged between symptom severity and task performance. Together, these ﬁndings suggest that the understanding of others’ minds partly contributes to the appreciation of social rules and norms in patients with severe chronic courses of schizophrenia.","container-title":"Frontiers in Psychiatry","DOI":"10.3389/fpsyt.2020.00835","ISSN":"1664-0640","journalAbbreviation":"Front. Psychiatry","language":"en","page":"835","source":"DOI.org (Crossref)","title":"Recognition of Social Rule Violation in “Deficit Syndrome” Schizophrenia: A Study Using Economic Games","title-short":"Recognition of Social Rule Violation in “Deficit Syndrome” Schizophrenia","volume":"11","author":[{"family":"Claassen","given":"Christian"},{"family":"Langdon","given":"Robyn"},{"family":"Brüne","given":"Martin"}],"issued":{"date-parts":[["2020",8,21]]}}}],"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(10,12)</w:t>
      </w:r>
      <w:r>
        <w:rPr>
          <w:rFonts w:ascii="Arial" w:hAnsi="Arial" w:cs="Arial"/>
          <w:sz w:val="22"/>
          <w:szCs w:val="22"/>
        </w:rPr>
        <w:fldChar w:fldCharType="end"/>
      </w:r>
      <w:r>
        <w:rPr>
          <w:rFonts w:ascii="Arial" w:hAnsi="Arial" w:cs="Arial"/>
          <w:sz w:val="22"/>
          <w:szCs w:val="22"/>
        </w:rPr>
        <w:t xml:space="preserve">. </w:t>
      </w:r>
    </w:p>
    <w:p w14:paraId="2D4D37A6" w14:textId="07D57039" w:rsidR="00FF5E7E" w:rsidRPr="00244717" w:rsidRDefault="005C7A15" w:rsidP="00244717">
      <w:pPr>
        <w:pStyle w:val="BodyText"/>
        <w:rPr>
          <w:rFonts w:ascii="Arial" w:hAnsi="Arial" w:cs="Arial"/>
          <w:sz w:val="22"/>
          <w:szCs w:val="22"/>
        </w:rPr>
      </w:pPr>
      <w:r w:rsidRPr="005C7A15">
        <w:rPr>
          <w:rFonts w:ascii="Arial" w:hAnsi="Arial" w:cs="Arial"/>
          <w:sz w:val="22"/>
          <w:szCs w:val="22"/>
        </w:rPr>
        <w:t>To pinpoint these mechanisms, we utilized a computational Trust Game. We hypothesized that patients would exhibit profound behavioral deficits in utilizing positive social feedback, underpinned by a neural failure to engage this integrated striatal-occipitotemporal network (specifically the striatum, cingulate, and fusiform gyrus) to properly compute the expected value of social trust</w:t>
      </w:r>
      <w:r>
        <w:rPr>
          <w:rFonts w:ascii="Arial" w:hAnsi="Arial" w:cs="Arial"/>
          <w:sz w:val="22"/>
          <w:szCs w:val="22"/>
        </w:rPr>
        <w:t>.</w:t>
      </w:r>
    </w:p>
    <w:p w14:paraId="5A82CF60" w14:textId="77777777" w:rsidR="00244717" w:rsidRDefault="00244717" w:rsidP="00244717"/>
    <w:p w14:paraId="51A6DCA5" w14:textId="1B77B83E" w:rsidR="00FA4832" w:rsidRPr="005144F5" w:rsidRDefault="00FA4832" w:rsidP="005144F5">
      <w:pPr>
        <w:pStyle w:val="Duz1"/>
        <w:numPr>
          <w:ilvl w:val="0"/>
          <w:numId w:val="2"/>
        </w:numPr>
      </w:pPr>
      <w:r w:rsidRPr="008704A5">
        <w:t>Methods</w:t>
      </w:r>
    </w:p>
    <w:p w14:paraId="096B9750" w14:textId="4B01594D" w:rsidR="00FA4832" w:rsidRPr="008704A5" w:rsidRDefault="00FA4832" w:rsidP="00935BC7">
      <w:pPr>
        <w:pStyle w:val="Duz2"/>
      </w:pPr>
      <w:r w:rsidRPr="008704A5">
        <w:t>2.1</w:t>
      </w:r>
      <w:r w:rsidR="0057150A" w:rsidRPr="008704A5">
        <w:t xml:space="preserve"> </w:t>
      </w:r>
      <w:r w:rsidRPr="008704A5">
        <w:t>Participants</w:t>
      </w:r>
    </w:p>
    <w:p w14:paraId="7F9884B7" w14:textId="77777777" w:rsidR="00FA4832" w:rsidRPr="008704A5" w:rsidRDefault="00FA4832" w:rsidP="00FA4832">
      <w:pPr>
        <w:jc w:val="both"/>
        <w:rPr>
          <w:rFonts w:eastAsia="Times New Roman"/>
          <w:color w:val="0E0E0E"/>
        </w:rPr>
      </w:pPr>
      <w:r w:rsidRPr="008704A5">
        <w:rPr>
          <w:rFonts w:eastAsia="Times New Roman"/>
          <w:color w:val="0E0E0E"/>
        </w:rPr>
        <w:t xml:space="preserve">Twenty-nine clinically stable, right-handed schizophrenia patients (mean age </w:t>
      </w:r>
      <w:r w:rsidRPr="008704A5">
        <w:rPr>
          <w:rFonts w:eastAsia="Times New Roman"/>
          <w:color w:val="0E0E0E"/>
        </w:rPr>
        <w:sym w:font="Symbol" w:char="F0B1"/>
      </w:r>
      <w:r w:rsidRPr="008704A5">
        <w:rPr>
          <w:rFonts w:eastAsia="Times New Roman"/>
          <w:color w:val="0E0E0E"/>
        </w:rPr>
        <w:t xml:space="preserve"> SD) were recruited from the Ege University Department of Psychiatry Outpatient Unit. All patients had remained on a stable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8704A5" w:rsidRDefault="00FA4832" w:rsidP="00FA4832">
      <w:pPr>
        <w:jc w:val="both"/>
        <w:rPr>
          <w:rFonts w:eastAsia="Times New Roman"/>
          <w:color w:val="0E0E0E"/>
        </w:rPr>
      </w:pPr>
    </w:p>
    <w:p w14:paraId="4FCC22B7" w14:textId="0DEEAC05" w:rsidR="00FA4832" w:rsidRPr="008704A5" w:rsidRDefault="00FA4832" w:rsidP="00FA4832">
      <w:pPr>
        <w:jc w:val="both"/>
        <w:rPr>
          <w:rFonts w:eastAsia="Times New Roman"/>
          <w:color w:val="0E0E0E"/>
        </w:rPr>
      </w:pPr>
      <w:r w:rsidRPr="008704A5">
        <w:rPr>
          <w:rFonts w:eastAsia="Times New Roman"/>
          <w:color w:val="0E0E0E"/>
        </w:rPr>
        <w:t>Patients with current depressive episodes, substance use disorders, or significant medical conditions affecting cerebral blood flow such as diabetes, hypertension and morbid obesity were excluded. Healthy controls were recruited through community advertisements and had no history of psychiatric disorders and no family history of schizophrenia. Demographic characteristics of all participants are presented in Table 1.</w:t>
      </w:r>
    </w:p>
    <w:p w14:paraId="655C9BAC" w14:textId="77777777" w:rsidR="00FA4832" w:rsidRPr="008704A5" w:rsidRDefault="00FA4832" w:rsidP="00935BC7">
      <w:pPr>
        <w:pStyle w:val="Duz2"/>
        <w:rPr>
          <w:rFonts w:eastAsia="Times New Roman"/>
        </w:rPr>
      </w:pPr>
      <w:r w:rsidRPr="008704A5">
        <w:rPr>
          <w:rFonts w:eastAsia="Times New Roman"/>
        </w:rPr>
        <w:t>2.2 Psychometric Assessment</w:t>
      </w:r>
    </w:p>
    <w:p w14:paraId="5D5700A1" w14:textId="1D277636" w:rsidR="00FA4832" w:rsidRPr="00C5110E" w:rsidRDefault="00FA4832" w:rsidP="00C5110E">
      <w:pPr>
        <w:jc w:val="both"/>
        <w:rPr>
          <w:b/>
          <w:bCs/>
          <w:u w:val="single"/>
        </w:rPr>
      </w:pPr>
      <w:r w:rsidRPr="008704A5">
        <w:rPr>
          <w:color w:val="0E0E0E"/>
        </w:rPr>
        <w:t xml:space="preserve">Schizophrenia diagnoses were confirmed by using the Structured Clinical Interview for DSM-5 (SCID-5). The Positive and Negative Syndrome Symptom Scale (PANSS), a semi-structured assessment, was administered to evaluate symptom </w:t>
      </w:r>
      <w:r w:rsidR="00485103" w:rsidRPr="008704A5">
        <w:rPr>
          <w:color w:val="0E0E0E"/>
        </w:rPr>
        <w:t>severity</w:t>
      </w:r>
      <w:r w:rsidRPr="008704A5">
        <w:rPr>
          <w:color w:val="0E0E0E"/>
        </w:rPr>
        <w:t xml:space="preserve"> and patient functionality. Cognitive and social functioning were evaluated with the Schizophrenia Cognition Rating Scale (</w:t>
      </w:r>
      <w:proofErr w:type="spellStart"/>
      <w:r w:rsidRPr="008704A5">
        <w:rPr>
          <w:color w:val="0E0E0E"/>
        </w:rPr>
        <w:t>SCoRS</w:t>
      </w:r>
      <w:proofErr w:type="spellEnd"/>
      <w:r w:rsidRPr="008704A5">
        <w:rPr>
          <w:color w:val="0E0E0E"/>
        </w:rPr>
        <w:t>) and the Functional Remission of General Schizophrenia (FROGS).</w:t>
      </w:r>
    </w:p>
    <w:p w14:paraId="6DC006C3" w14:textId="2960EF12" w:rsidR="00FA4832" w:rsidRPr="008704A5" w:rsidRDefault="00FA4832" w:rsidP="00935BC7">
      <w:pPr>
        <w:pStyle w:val="Duz2"/>
      </w:pPr>
      <w:r w:rsidRPr="008704A5">
        <w:t>2.3</w:t>
      </w:r>
      <w:r w:rsidR="00935BC7">
        <w:t xml:space="preserve"> </w:t>
      </w:r>
      <w:r w:rsidRPr="008704A5">
        <w:t>Task Paradigm</w:t>
      </w:r>
    </w:p>
    <w:p w14:paraId="7AD064B7" w14:textId="51694D36" w:rsidR="00FA4832" w:rsidRPr="008704A5" w:rsidRDefault="00FA4832" w:rsidP="00FA4832">
      <w:pPr>
        <w:jc w:val="both"/>
        <w:rPr>
          <w:b/>
          <w:bCs/>
        </w:rPr>
      </w:pPr>
      <w:r w:rsidRPr="008704A5">
        <w:t>The experimental paradigm is based on the "Trust Game," a widely used game-theoretical model in the literature that captures interpersonal trust</w:t>
      </w:r>
      <w:r w:rsidRPr="008704A5">
        <w:fldChar w:fldCharType="begin"/>
      </w:r>
      <w:r w:rsidR="005E438A">
        <w:instrText xml:space="preserve"> ADDIN ZOTERO_ITEM CSL_CITATION {"citationID":"3c4VG86Y","properties":{"formattedCitation":"(28)","plainCitation":"(28)","noteIndex":0},"citationItems":[{"id":"nN3ZLqP7/OcOwqfLx","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8704A5">
        <w:fldChar w:fldCharType="separate"/>
      </w:r>
      <w:r w:rsidR="005E438A">
        <w:rPr>
          <w:rFonts w:eastAsiaTheme="minorHAnsi"/>
          <w:szCs w:val="24"/>
          <w14:ligatures w14:val="standardContextual"/>
        </w:rPr>
        <w:t>(28)</w:t>
      </w:r>
      <w:r w:rsidRPr="008704A5">
        <w:fldChar w:fldCharType="end"/>
      </w:r>
      <w:r w:rsidRPr="008704A5">
        <w:t>. Participants met the trustee in person before the fMRI sessions to enhance their belief that they were interacting with a real partner during the task, although the trustee’s responses were preprogrammed. The greeting of trustee to participants procedure was standardized to prevent any influence on baseline trust levels.</w:t>
      </w:r>
    </w:p>
    <w:p w14:paraId="27B4C6AE" w14:textId="77777777" w:rsidR="00FA4832" w:rsidRPr="008704A5" w:rsidRDefault="00FA4832" w:rsidP="00FA4832">
      <w:pPr>
        <w:jc w:val="both"/>
      </w:pPr>
    </w:p>
    <w:p w14:paraId="5D36C0F9" w14:textId="77777777" w:rsidR="00FA4832" w:rsidRPr="008704A5" w:rsidRDefault="00FA4832" w:rsidP="00FA4832">
      <w:pPr>
        <w:jc w:val="both"/>
      </w:pPr>
      <w:r w:rsidRPr="008704A5">
        <w:t xml:space="preserve">In each trial, the participant starts with an initial endowment of 40 Turkish Lira (TL) and must decide whether to keep the money or invest it by transferring it to the trustee. If the participant keeps the money, it is evenly split between them and the trustee. If the participant chooses to </w:t>
      </w:r>
      <w:r w:rsidRPr="008704A5">
        <w:lastRenderedPageBreak/>
        <w:t>invest, the amount is tripled to 120 TL, and the trustee then decides whether to share this amount equally with the participant or keep all of it. The task consisted of three blocks, each comprising 20 trials, with varying levels of reciprocity toward the investor, for a total of 60 trials.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18960067" w14:textId="77777777" w:rsidR="00FA4832" w:rsidRPr="008704A5" w:rsidRDefault="00FA4832" w:rsidP="00FA4832">
      <w:pPr>
        <w:jc w:val="both"/>
      </w:pPr>
      <w:r w:rsidRPr="008704A5">
        <w:br/>
        <w:t>In the first decision screen, participants saw a photo of the trustee alongside their initial endowment of 40 Turkish Lira (TL). They were instructed to decide whether to keep the money or invest it by transferring it to the trustee. No action or response was needed during this phase, 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 and exclusion of the subject.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4D9A3121" w14:textId="77777777" w:rsidR="00FA4832" w:rsidRPr="008704A5" w:rsidRDefault="00FA4832" w:rsidP="00FA4832">
      <w:pPr>
        <w:jc w:val="both"/>
      </w:pPr>
    </w:p>
    <w:p w14:paraId="2F5BA44B" w14:textId="77777777" w:rsidR="00FA4832" w:rsidRPr="008704A5" w:rsidRDefault="00FA4832" w:rsidP="00FA4832">
      <w:pPr>
        <w:jc w:val="both"/>
      </w:pPr>
      <w:r w:rsidRPr="008704A5">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9BA9AE6" w14:textId="77777777" w:rsidR="00FA4832" w:rsidRPr="008704A5" w:rsidRDefault="00FA4832" w:rsidP="00FA4832">
      <w:pPr>
        <w:jc w:val="both"/>
      </w:pPr>
    </w:p>
    <w:p w14:paraId="36D55899" w14:textId="77777777" w:rsidR="00FA4832" w:rsidRPr="008704A5" w:rsidRDefault="00FA4832" w:rsidP="00FA4832">
      <w:pPr>
        <w:jc w:val="both"/>
      </w:pPr>
      <w:r w:rsidRPr="008704A5">
        <w:t>[Insert Figure 1]</w:t>
      </w:r>
    </w:p>
    <w:p w14:paraId="31B4C6C4" w14:textId="77777777" w:rsidR="00FA4832" w:rsidRPr="008704A5" w:rsidRDefault="00FA4832" w:rsidP="00FA4832">
      <w:pPr>
        <w:jc w:val="both"/>
      </w:pPr>
    </w:p>
    <w:p w14:paraId="7F3A173B" w14:textId="77777777" w:rsidR="00FA4832" w:rsidRPr="008704A5" w:rsidRDefault="00FA4832" w:rsidP="00FA4832">
      <w:pPr>
        <w:jc w:val="both"/>
      </w:pPr>
      <w:r w:rsidRPr="008704A5">
        <w:rPr>
          <w:b/>
          <w:bCs/>
        </w:rPr>
        <w:t>Figure 1. Single-trial timeline of the Trust Game.</w:t>
      </w:r>
      <w:r w:rsidRPr="008704A5">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8704A5" w:rsidRDefault="00FA4832" w:rsidP="00FA4832">
      <w:pPr>
        <w:jc w:val="both"/>
      </w:pPr>
    </w:p>
    <w:p w14:paraId="1D7C0CA8" w14:textId="77777777" w:rsidR="00FA4832" w:rsidRPr="008704A5" w:rsidRDefault="00FA4832" w:rsidP="00FA4832">
      <w:pPr>
        <w:jc w:val="both"/>
      </w:pPr>
      <w:r w:rsidRPr="008704A5">
        <w:t>[ Insert Figure 2]</w:t>
      </w:r>
    </w:p>
    <w:p w14:paraId="3AFE5BFA" w14:textId="77777777" w:rsidR="00FA4832" w:rsidRPr="008704A5" w:rsidRDefault="00FA4832" w:rsidP="00FA4832">
      <w:pPr>
        <w:jc w:val="both"/>
      </w:pPr>
    </w:p>
    <w:p w14:paraId="4B1B6295" w14:textId="77777777" w:rsidR="00FA4832" w:rsidRPr="008704A5" w:rsidRDefault="00FA4832" w:rsidP="00FA4832">
      <w:pPr>
        <w:jc w:val="both"/>
      </w:pPr>
      <w:r w:rsidRPr="008704A5">
        <w:rPr>
          <w:b/>
          <w:bCs/>
        </w:rPr>
        <w:lastRenderedPageBreak/>
        <w:t>Figure 2. Trial screens and timing in the Trust Game.</w:t>
      </w:r>
      <w:r w:rsidRPr="008704A5">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8704A5">
        <w:t>share</w:t>
      </w:r>
      <w:proofErr w:type="gramEnd"/>
      <w:r w:rsidRPr="008704A5">
        <w:t xml:space="preserve"> the tripled investment (120 TL, 60 TL each) or keep all—along with participant earnings. (E) Jittered ITI (blank) 3–6 s. (F) Fixation 3–6 s, adjusted to yield a fixed 9 s total inter-trial interval. Durations in seconds unless noted.</w:t>
      </w:r>
    </w:p>
    <w:p w14:paraId="5E05F8E4" w14:textId="1B6E710E" w:rsidR="00BE273B" w:rsidRPr="008704A5" w:rsidRDefault="00BE273B" w:rsidP="00BE273B">
      <w:pPr>
        <w:rPr>
          <w:rFonts w:eastAsia="Calibri"/>
          <w:b/>
          <w:bCs/>
        </w:rPr>
      </w:pPr>
    </w:p>
    <w:p w14:paraId="4B68C4ED" w14:textId="7C72DFF0" w:rsidR="00BE273B" w:rsidRDefault="00BE273B" w:rsidP="00935BC7">
      <w:pPr>
        <w:pStyle w:val="Duz2"/>
      </w:pPr>
      <w:r w:rsidRPr="00935BC7">
        <w:t>2.4. Computational Learning Model Based on Rescorla-Wagner</w:t>
      </w:r>
    </w:p>
    <w:p w14:paraId="6A8FCB2C" w14:textId="5C4F498E" w:rsidR="002F535A" w:rsidRDefault="002F535A" w:rsidP="002F535A">
      <w:pPr>
        <w:pStyle w:val="BodyText"/>
        <w:rPr>
          <w:rFonts w:ascii="Arial" w:hAnsi="Arial" w:cs="Arial"/>
          <w:sz w:val="22"/>
          <w:szCs w:val="22"/>
        </w:rPr>
      </w:pPr>
      <w:r w:rsidRPr="002F535A">
        <w:rPr>
          <w:rFonts w:ascii="Arial" w:hAnsi="Arial" w:cs="Arial"/>
          <w:sz w:val="22"/>
          <w:szCs w:val="22"/>
        </w:rPr>
        <w:t xml:space="preserve">Choice behavior was fit to a standard Rescorla-Wagner reinforcement learning model utilizing a </w:t>
      </w:r>
      <w:proofErr w:type="spellStart"/>
      <w:r w:rsidRPr="002F535A">
        <w:rPr>
          <w:rFonts w:ascii="Arial" w:hAnsi="Arial" w:cs="Arial"/>
          <w:sz w:val="22"/>
          <w:szCs w:val="22"/>
        </w:rPr>
        <w:t>softmax</w:t>
      </w:r>
      <w:proofErr w:type="spellEnd"/>
      <w:r w:rsidRPr="002F535A">
        <w:rPr>
          <w:rFonts w:ascii="Arial" w:hAnsi="Arial" w:cs="Arial"/>
          <w:sz w:val="22"/>
          <w:szCs w:val="22"/>
        </w:rPr>
        <w:t xml:space="preserve"> decision rule to estimate learning rate (</w:t>
      </w:r>
      <m:oMath>
        <m:r>
          <w:rPr>
            <w:rFonts w:ascii="Cambria Math" w:hAnsi="Cambria Math" w:cs="Arial"/>
            <w:sz w:val="22"/>
            <w:szCs w:val="22"/>
          </w:rPr>
          <m:t>α</m:t>
        </m:r>
      </m:oMath>
      <w:r w:rsidRPr="002F535A">
        <w:rPr>
          <w:rFonts w:ascii="Arial" w:hAnsi="Arial" w:cs="Arial"/>
          <w:sz w:val="22"/>
          <w:szCs w:val="22"/>
        </w:rPr>
        <w:t>) and inverse temperature (</w:t>
      </w:r>
      <m:oMath>
        <m:r>
          <w:rPr>
            <w:rFonts w:ascii="Cambria Math" w:hAnsi="Cambria Math" w:cs="Arial"/>
            <w:sz w:val="22"/>
            <w:szCs w:val="22"/>
          </w:rPr>
          <m:t>β</m:t>
        </m:r>
      </m:oMath>
      <w:r w:rsidRPr="002F535A">
        <w:rPr>
          <w:rFonts w:ascii="Arial" w:hAnsi="Arial" w:cs="Arial"/>
          <w:sz w:val="22"/>
          <w:szCs w:val="22"/>
        </w:rPr>
        <w:t>). Full mathematical formulations are provided in the Supplementary Material.</w:t>
      </w:r>
      <w:r w:rsidR="00A818B7">
        <w:rPr>
          <w:rFonts w:ascii="Arial" w:hAnsi="Arial" w:cs="Arial"/>
          <w:sz w:val="22"/>
          <w:szCs w:val="22"/>
        </w:rPr>
        <w:t xml:space="preserve"> </w:t>
      </w:r>
      <w:r w:rsidR="00A818B7" w:rsidRPr="00A818B7">
        <w:rPr>
          <w:rFonts w:ascii="Arial" w:hAnsi="Arial" w:cs="Arial"/>
          <w:sz w:val="22"/>
          <w:szCs w:val="22"/>
        </w:rPr>
        <w:t xml:space="preserve">Subject-level parameters were estimated using Maximum </w:t>
      </w:r>
      <w:proofErr w:type="gramStart"/>
      <w:r w:rsidR="00A818B7" w:rsidRPr="00A818B7">
        <w:rPr>
          <w:rFonts w:ascii="Arial" w:hAnsi="Arial" w:cs="Arial"/>
          <w:sz w:val="22"/>
          <w:szCs w:val="22"/>
        </w:rPr>
        <w:t>A</w:t>
      </w:r>
      <w:proofErr w:type="gramEnd"/>
      <w:r w:rsidR="00A818B7" w:rsidRPr="00A818B7">
        <w:rPr>
          <w:rFonts w:ascii="Arial" w:hAnsi="Arial" w:cs="Arial"/>
          <w:sz w:val="22"/>
          <w:szCs w:val="22"/>
        </w:rPr>
        <w:t xml:space="preserve"> Posteriori (MAP) estimation to ensure robust fits. Optimization routines and prior distributions are detailed in the Supplementary Material</w:t>
      </w:r>
      <w:r w:rsidR="00A818B7">
        <w:rPr>
          <w:rFonts w:ascii="Arial" w:hAnsi="Arial" w:cs="Arial"/>
          <w:sz w:val="22"/>
          <w:szCs w:val="22"/>
        </w:rPr>
        <w:t xml:space="preserve">. </w:t>
      </w:r>
    </w:p>
    <w:p w14:paraId="75E7CD8F" w14:textId="50E49296" w:rsidR="00A818B7" w:rsidRDefault="00A818B7" w:rsidP="00A818B7">
      <w:pPr>
        <w:pStyle w:val="Duz3"/>
      </w:pPr>
      <w:r>
        <w:t xml:space="preserve">2.4.1 Model validation and Parameter Recovery </w:t>
      </w:r>
    </w:p>
    <w:p w14:paraId="402F7E87" w14:textId="60B6ED12" w:rsidR="008D68DF" w:rsidRPr="005C7A15" w:rsidRDefault="00A818B7" w:rsidP="005C7A15">
      <w:pPr>
        <w:pStyle w:val="BodyText"/>
        <w:rPr>
          <w:rFonts w:ascii="Arial" w:hAnsi="Arial" w:cs="Arial"/>
          <w:sz w:val="22"/>
          <w:szCs w:val="22"/>
        </w:rPr>
      </w:pPr>
      <w:r w:rsidRPr="00A818B7">
        <w:rPr>
          <w:rFonts w:ascii="Arial" w:hAnsi="Arial" w:cs="Arial"/>
          <w:sz w:val="22"/>
          <w:szCs w:val="22"/>
        </w:rPr>
        <w:t>To ensure the mathematical reliability of our computational framework, we conducted extensive parameter recovery simulations and predictive checks. These analyses confirmed excellent parameter identifiability for both learning rate and inverse temperature and demonstrated that the model reliably captured empirical choice trajectories (significantly outperforming chance). Full simulation methodologies and recovery statistics are detailed in the Supplementary Material.</w:t>
      </w:r>
    </w:p>
    <w:p w14:paraId="2D4F8CC3" w14:textId="151FB090" w:rsidR="008D68DF" w:rsidRPr="008704A5" w:rsidRDefault="008D68DF" w:rsidP="008D68DF">
      <w:pPr>
        <w:pStyle w:val="Duz3"/>
      </w:pPr>
      <w:r>
        <w:t>2.</w:t>
      </w:r>
      <w:r w:rsidR="00D93D2F">
        <w:t>4.2</w:t>
      </w:r>
      <w:r>
        <w:t xml:space="preserve"> Computational Parameter Comparison </w:t>
      </w:r>
    </w:p>
    <w:p w14:paraId="5FD7EB28" w14:textId="3952161F" w:rsidR="008D68DF" w:rsidRPr="008704A5" w:rsidRDefault="008D68DF" w:rsidP="008D68DF">
      <w:pPr>
        <w:rPr>
          <w:rFonts w:eastAsia="Calibri"/>
        </w:rPr>
      </w:pPr>
      <w:r w:rsidRPr="008704A5">
        <w:rPr>
          <w:rFonts w:eastAsia="Calibri"/>
        </w:rPr>
        <w:t xml:space="preserve">Group differences in </w:t>
      </w:r>
      <m:oMath>
        <m:r>
          <w:rPr>
            <w:rFonts w:ascii="Cambria Math" w:eastAsia="Calibri" w:hAnsi="Cambria Math"/>
          </w:rPr>
          <m:t>α</m:t>
        </m:r>
      </m:oMath>
      <w:r w:rsidRPr="008704A5">
        <w:rPr>
          <w:rFonts w:eastAsia="Calibri"/>
        </w:rPr>
        <w:t xml:space="preserve">, </w:t>
      </w:r>
      <m:oMath>
        <m:r>
          <w:rPr>
            <w:rFonts w:ascii="Cambria Math" w:eastAsia="Calibri" w:hAnsi="Cambria Math"/>
          </w:rPr>
          <m:t>β</m:t>
        </m:r>
      </m:oMath>
      <w:r w:rsidRPr="008704A5">
        <w:rPr>
          <w:rFonts w:eastAsia="Calibri"/>
        </w:rPr>
        <w:t>, Pseudo-R</w:t>
      </w:r>
      <w:r w:rsidRPr="008704A5">
        <w:rPr>
          <w:rFonts w:eastAsia="Calibri"/>
          <w:vertAlign w:val="superscript"/>
        </w:rPr>
        <w:t>2</w:t>
      </w:r>
      <w:r w:rsidRPr="008704A5">
        <w:rPr>
          <w:rFonts w:eastAsia="Calibri"/>
        </w:rPr>
        <w:t xml:space="preserve"> were assessed using non-parametric permutation tests (10.000 samples) on medians to account for the non-normal distribution of the estimated parameters. </w:t>
      </w:r>
      <w:r w:rsidR="00C5110E" w:rsidRPr="00C5110E">
        <w:rPr>
          <w:rFonts w:eastAsia="Calibri"/>
        </w:rPr>
        <w:t>To evaluate trial-by-trial prediction error magnitudes, absolute prediction errors (|PE|) were analyzed using a Linear Mixed-Effects Model (LMM). The model included fixed effects for Group, Task Phase, their interaction, and covariates for age and sex, with a random intercept for subject to account for repeated measures. Model assumptions, including normality of residuals and homoscedasticity, were verified via visual inspection of Q-Q and residual-versus-fitted plots.</w:t>
      </w:r>
    </w:p>
    <w:p w14:paraId="5171053F" w14:textId="77777777" w:rsidR="00A24B64" w:rsidRDefault="00A24B64" w:rsidP="00BE273B">
      <w:pPr>
        <w:rPr>
          <w:rFonts w:eastAsia="Calibri"/>
        </w:rPr>
      </w:pPr>
    </w:p>
    <w:p w14:paraId="553E03FB" w14:textId="17E72B2E" w:rsidR="00231171" w:rsidRDefault="00231171" w:rsidP="00231171">
      <w:pPr>
        <w:pStyle w:val="Duz2"/>
        <w:rPr>
          <w:rFonts w:eastAsia="Calibri"/>
        </w:rPr>
      </w:pPr>
      <w:r>
        <w:rPr>
          <w:rFonts w:eastAsia="Calibri"/>
        </w:rPr>
        <w:t>2.</w:t>
      </w:r>
      <w:r w:rsidR="00175B9A">
        <w:rPr>
          <w:rFonts w:eastAsia="Calibri"/>
        </w:rPr>
        <w:t>5</w:t>
      </w:r>
      <w:r>
        <w:rPr>
          <w:rFonts w:eastAsia="Calibri"/>
        </w:rPr>
        <w:t xml:space="preserve"> fMRI Data Acquisition and Preprocessing </w:t>
      </w:r>
    </w:p>
    <w:p w14:paraId="4BCF1AD8" w14:textId="37225FDD" w:rsidR="002F535A" w:rsidRDefault="002F535A" w:rsidP="00BE273B">
      <w:pPr>
        <w:rPr>
          <w:rFonts w:eastAsia="Calibri"/>
        </w:rPr>
      </w:pPr>
      <w:r w:rsidRPr="002F535A">
        <w:rPr>
          <w:rFonts w:eastAsia="Calibri"/>
        </w:rPr>
        <w:t>Functional imaging</w:t>
      </w:r>
      <w:r>
        <w:rPr>
          <w:rFonts w:eastAsia="Calibri"/>
        </w:rPr>
        <w:t xml:space="preserve"> (fMRI)</w:t>
      </w:r>
      <w:r w:rsidRPr="002F535A">
        <w:rPr>
          <w:rFonts w:eastAsia="Calibri"/>
        </w:rPr>
        <w:t xml:space="preserve"> was performed using a 3.0-Tesla scanner. Full acquisition parameters are detailed in the Supplementary Material.</w:t>
      </w:r>
      <w:r>
        <w:rPr>
          <w:rFonts w:eastAsia="Calibri"/>
        </w:rPr>
        <w:t xml:space="preserve"> </w:t>
      </w:r>
      <w:r w:rsidRPr="002F535A">
        <w:rPr>
          <w:rFonts w:eastAsia="Calibri"/>
        </w:rPr>
        <w:t xml:space="preserve">Standard preprocessing was conducted using SPM, including spatial realignment, normalization to MNI space, spatial smoothing </w:t>
      </w:r>
      <w:r>
        <w:rPr>
          <w:rFonts w:eastAsia="Calibri"/>
        </w:rPr>
        <w:t xml:space="preserve">and offline motion parameter </w:t>
      </w:r>
      <w:r w:rsidR="00D56E2A">
        <w:rPr>
          <w:rFonts w:eastAsia="Calibri"/>
        </w:rPr>
        <w:t>regression</w:t>
      </w:r>
      <w:r w:rsidR="00D56E2A" w:rsidRPr="002F535A">
        <w:rPr>
          <w:rFonts w:eastAsia="Calibri"/>
        </w:rPr>
        <w:t xml:space="preserve"> (</w:t>
      </w:r>
      <w:r w:rsidRPr="002F535A">
        <w:rPr>
          <w:rFonts w:eastAsia="Calibri"/>
        </w:rPr>
        <w:t>see Supplementary Material).</w:t>
      </w:r>
    </w:p>
    <w:p w14:paraId="033603C8" w14:textId="77777777" w:rsidR="002F535A" w:rsidRDefault="002F535A" w:rsidP="00BE273B">
      <w:pPr>
        <w:rPr>
          <w:rFonts w:eastAsia="Calibri"/>
        </w:rPr>
      </w:pPr>
    </w:p>
    <w:p w14:paraId="63ED7F9A" w14:textId="77777777" w:rsidR="008D68DF" w:rsidRDefault="008D68DF" w:rsidP="00BE273B">
      <w:pPr>
        <w:rPr>
          <w:rFonts w:eastAsia="Calibri"/>
        </w:rPr>
      </w:pPr>
    </w:p>
    <w:p w14:paraId="5C50C1C8" w14:textId="5F0A7236" w:rsidR="008D68DF" w:rsidRDefault="008D68DF" w:rsidP="008D68DF">
      <w:pPr>
        <w:pStyle w:val="Duz2"/>
        <w:rPr>
          <w:rFonts w:eastAsia="Calibri"/>
        </w:rPr>
      </w:pPr>
      <w:r>
        <w:rPr>
          <w:rFonts w:eastAsia="Calibri"/>
        </w:rPr>
        <w:t>2.</w:t>
      </w:r>
      <w:r w:rsidR="00175B9A">
        <w:rPr>
          <w:rFonts w:eastAsia="Calibri"/>
        </w:rPr>
        <w:t>6</w:t>
      </w:r>
      <w:r>
        <w:rPr>
          <w:rFonts w:eastAsia="Calibri"/>
        </w:rPr>
        <w:t xml:space="preserve"> fMRI Statistical Analysis</w:t>
      </w:r>
    </w:p>
    <w:p w14:paraId="6C84DCF2" w14:textId="77777777" w:rsidR="008D68DF" w:rsidRDefault="008D68DF" w:rsidP="00BE273B">
      <w:pPr>
        <w:rPr>
          <w:rFonts w:eastAsia="Calibri"/>
        </w:rPr>
      </w:pPr>
    </w:p>
    <w:p w14:paraId="38397E30" w14:textId="062D9E23" w:rsidR="008D68DF" w:rsidRDefault="008D68DF" w:rsidP="00BE273B">
      <w:pPr>
        <w:rPr>
          <w:rFonts w:eastAsia="Calibri"/>
        </w:rPr>
      </w:pPr>
      <w:r>
        <w:rPr>
          <w:rFonts w:eastAsia="Calibri"/>
        </w:rPr>
        <w:t>First-level General Linear Models (GLM) captured task-related BOLD responses. Crucially, trial-by-trial Prediction Errors (PE) were entered as an orthogonalized parametric modulator on the feedback onset to isolate computational learning signals. Second-level analyses evaluated group differences (Healthy Controls</w:t>
      </w:r>
      <w:r w:rsidR="002F535A">
        <w:rPr>
          <w:rFonts w:eastAsia="Calibri"/>
        </w:rPr>
        <w:t xml:space="preserve"> (HC)</w:t>
      </w:r>
      <w:r>
        <w:rPr>
          <w:rFonts w:eastAsia="Calibri"/>
        </w:rPr>
        <w:t xml:space="preserve"> vs Schizophrenia</w:t>
      </w:r>
      <w:r w:rsidR="002F535A">
        <w:rPr>
          <w:rFonts w:eastAsia="Calibri"/>
        </w:rPr>
        <w:t xml:space="preserve"> (SZ)</w:t>
      </w:r>
      <w:r>
        <w:rPr>
          <w:rFonts w:eastAsia="Calibri"/>
        </w:rPr>
        <w:t xml:space="preserve">) via two-sample t-tests. Whole-brain statistical maps were </w:t>
      </w:r>
      <w:proofErr w:type="spellStart"/>
      <w:r>
        <w:rPr>
          <w:rFonts w:eastAsia="Calibri"/>
        </w:rPr>
        <w:t>thresholded</w:t>
      </w:r>
      <w:proofErr w:type="spellEnd"/>
      <w:r>
        <w:rPr>
          <w:rFonts w:eastAsia="Calibri"/>
        </w:rPr>
        <w:t xml:space="preserve"> at an uncorrected </w:t>
      </w:r>
      <m:oMath>
        <m:r>
          <w:rPr>
            <w:rFonts w:ascii="Cambria Math" w:eastAsia="Calibri" w:hAnsi="Cambria Math"/>
          </w:rPr>
          <m:t>p &lt; 0.001</m:t>
        </m:r>
      </m:oMath>
      <w:r>
        <w:rPr>
          <w:rFonts w:eastAsia="Calibri"/>
        </w:rPr>
        <w:t xml:space="preserve">, followed by cluster-level </w:t>
      </w:r>
      <w:r w:rsidR="005C7A15">
        <w:rPr>
          <w:rFonts w:eastAsia="Calibri"/>
        </w:rPr>
        <w:t xml:space="preserve">FEW </w:t>
      </w:r>
      <w:r>
        <w:rPr>
          <w:rFonts w:eastAsia="Calibri"/>
        </w:rPr>
        <w:t>correction (</w:t>
      </w:r>
      <m:oMath>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FWE</m:t>
            </m:r>
          </m:sub>
        </m:sSub>
        <m:r>
          <w:rPr>
            <w:rFonts w:ascii="Cambria Math" w:eastAsia="Calibri" w:hAnsi="Cambria Math"/>
          </w:rPr>
          <m:t xml:space="preserve"> &lt; 0.05</m:t>
        </m:r>
      </m:oMath>
      <w:r>
        <w:rPr>
          <w:rFonts w:eastAsia="Calibri"/>
        </w:rPr>
        <w:t xml:space="preserve">). Complete GLM construction and design matrix details are provided in the Supplementary Material. </w:t>
      </w:r>
    </w:p>
    <w:p w14:paraId="5FD0B30D" w14:textId="77777777" w:rsidR="00A24B64" w:rsidRDefault="00A24B64" w:rsidP="00BE273B">
      <w:pPr>
        <w:rPr>
          <w:rFonts w:eastAsia="Calibri"/>
        </w:rPr>
      </w:pPr>
    </w:p>
    <w:p w14:paraId="344D7957" w14:textId="7254A560" w:rsidR="001851A5" w:rsidRPr="001618A0" w:rsidRDefault="001851A5" w:rsidP="001851A5">
      <w:pPr>
        <w:pStyle w:val="Duz2"/>
        <w:rPr>
          <w:rFonts w:eastAsia="Calibri"/>
        </w:rPr>
      </w:pPr>
      <w:r>
        <w:rPr>
          <w:rFonts w:eastAsia="Calibri"/>
        </w:rPr>
        <w:t>3. Results</w:t>
      </w:r>
    </w:p>
    <w:p w14:paraId="6A0E381B" w14:textId="6D5BB620" w:rsidR="008D27A3" w:rsidRDefault="001851A5" w:rsidP="00BD7AF5">
      <w:pPr>
        <w:pStyle w:val="Duz2"/>
      </w:pPr>
      <w:r>
        <w:t xml:space="preserve">3.1 Model Free Behavioral Strategies </w:t>
      </w:r>
    </w:p>
    <w:p w14:paraId="6D2309DB" w14:textId="278335FE" w:rsidR="001851A5" w:rsidRDefault="006C3543" w:rsidP="006C3543">
      <w:r>
        <w:t>Permutation tests (10000 resamples) revealed that SZ patients exhibited significantly lower Win-Stay probability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0.53±0.39</m:t>
        </m:r>
      </m:oMath>
      <w:r w:rsidR="00BD7AF5">
        <w:t>) compared</w:t>
      </w:r>
      <w:r>
        <w:t xml:space="preserve"> to HC (</w:t>
      </w:r>
      <m:oMath>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0.74± 0.20,p=.0004</m:t>
        </m:r>
      </m:oMath>
      <w:r>
        <w:t>). However, Loss-Shift behavior did not differ significantly between both groups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0.47±0.32, </m:t>
        </m:r>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0.42± 0.25, p=.407</m:t>
        </m:r>
      </m:oMath>
      <w:r>
        <w:t xml:space="preserve">). </w:t>
      </w:r>
    </w:p>
    <w:p w14:paraId="4CE75CA4" w14:textId="77777777" w:rsidR="00FF41E9" w:rsidRDefault="00FF41E9" w:rsidP="006C3543"/>
    <w:p w14:paraId="5CAA1632" w14:textId="33E87A6F" w:rsidR="00FF41E9" w:rsidRPr="008704A5" w:rsidRDefault="00FF41E9" w:rsidP="006C3543">
      <w:r>
        <w:rPr>
          <w:noProof/>
          <w14:ligatures w14:val="standardContextual"/>
        </w:rPr>
        <w:drawing>
          <wp:inline distT="0" distB="0" distL="0" distR="0" wp14:anchorId="78ADC060" wp14:editId="5F901705">
            <wp:extent cx="5943600" cy="2476500"/>
            <wp:effectExtent l="0" t="0" r="0" b="0"/>
            <wp:docPr id="55168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86197"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0CE41001" w14:textId="7770EAF9" w:rsidR="00CC7636" w:rsidRPr="005E438A" w:rsidRDefault="005E438A" w:rsidP="005E438A">
      <w:pPr>
        <w:pStyle w:val="BodyText"/>
        <w:rPr>
          <w:rFonts w:ascii="Arial" w:hAnsi="Arial" w:cs="Arial"/>
          <w:i/>
          <w:iCs/>
          <w:sz w:val="20"/>
          <w:szCs w:val="20"/>
        </w:rPr>
      </w:pPr>
      <w:r w:rsidRPr="005E438A">
        <w:rPr>
          <w:rFonts w:ascii="Arial" w:hAnsi="Arial" w:cs="Arial"/>
          <w:i/>
          <w:iCs/>
          <w:sz w:val="20"/>
          <w:szCs w:val="20"/>
        </w:rPr>
        <w:t>Figure 3.</w:t>
      </w:r>
    </w:p>
    <w:p w14:paraId="14B524CF" w14:textId="77777777" w:rsidR="004B54C0" w:rsidRDefault="004B54C0">
      <w:pPr>
        <w:rPr>
          <w:b/>
          <w:bCs/>
          <w:sz w:val="28"/>
          <w:szCs w:val="28"/>
        </w:rPr>
      </w:pPr>
    </w:p>
    <w:p w14:paraId="3BF068AE" w14:textId="77777777" w:rsidR="00E518CB" w:rsidRDefault="00E518CB">
      <w:pPr>
        <w:rPr>
          <w:b/>
          <w:bCs/>
          <w:sz w:val="28"/>
          <w:szCs w:val="28"/>
        </w:rPr>
      </w:pPr>
    </w:p>
    <w:p w14:paraId="76D5398B" w14:textId="5794F6D4" w:rsidR="00BD7AF5" w:rsidRDefault="00BD7AF5">
      <w:pPr>
        <w:rPr>
          <w:b/>
          <w:bCs/>
          <w:sz w:val="28"/>
          <w:szCs w:val="28"/>
        </w:rPr>
      </w:pPr>
      <w:r>
        <w:rPr>
          <w:b/>
          <w:bCs/>
          <w:sz w:val="28"/>
          <w:szCs w:val="28"/>
        </w:rPr>
        <w:t>3.</w:t>
      </w:r>
      <w:r w:rsidR="006C0B5A">
        <w:rPr>
          <w:b/>
          <w:bCs/>
          <w:sz w:val="28"/>
          <w:szCs w:val="28"/>
        </w:rPr>
        <w:t>2</w:t>
      </w:r>
      <w:r>
        <w:rPr>
          <w:b/>
          <w:bCs/>
          <w:sz w:val="28"/>
          <w:szCs w:val="28"/>
        </w:rPr>
        <w:t xml:space="preserve"> </w:t>
      </w:r>
      <w:r w:rsidR="00FF41E9">
        <w:rPr>
          <w:b/>
          <w:bCs/>
          <w:sz w:val="28"/>
          <w:szCs w:val="28"/>
        </w:rPr>
        <w:t xml:space="preserve">Computational Modeling Results </w:t>
      </w:r>
    </w:p>
    <w:p w14:paraId="15D5F92F" w14:textId="2DF21832" w:rsidR="00FF41E9" w:rsidRDefault="00FF41E9">
      <w:r>
        <w:t xml:space="preserve">Permutation tests (10000 resamples) revealed that patients with </w:t>
      </w:r>
      <w:r w:rsidR="00B956C5">
        <w:t>SZ</w:t>
      </w:r>
      <w:r>
        <w:t xml:space="preserve"> exhibited a significantly lower learning rate (</w:t>
      </w:r>
      <m:oMath>
        <m:r>
          <w:rPr>
            <w:rStyle w:val="math-inline"/>
            <w:rFonts w:ascii="Cambria Math" w:hAnsi="Cambria Math"/>
          </w:rPr>
          <m:t>α</m:t>
        </m:r>
      </m:oMath>
      <w:r>
        <w:t>) (</w:t>
      </w:r>
      <m:oMath>
        <m:r>
          <w:rPr>
            <w:rFonts w:ascii="Cambria Math" w:hAnsi="Cambria Math"/>
          </w:rPr>
          <m:t>Median = 0.051</m:t>
        </m:r>
      </m:oMath>
      <w:r>
        <w:t xml:space="preserve">) compared to </w:t>
      </w:r>
      <w:r w:rsidR="00B956C5">
        <w:t>HC</w:t>
      </w:r>
      <w:r>
        <w:t xml:space="preserve"> (</w:t>
      </w:r>
      <m:oMath>
        <m:r>
          <w:rPr>
            <w:rFonts w:ascii="Cambria Math" w:hAnsi="Cambria Math"/>
          </w:rPr>
          <m:t>Median = 0.197, p = .010</m:t>
        </m:r>
      </m:oMath>
      <w:r w:rsidR="00E1393E">
        <w:t xml:space="preserve">, </w:t>
      </w:r>
      <w:r w:rsidR="00E1393E" w:rsidRPr="00E1393E">
        <w:lastRenderedPageBreak/>
        <w:t>surviving Bonferroni correction</w:t>
      </w:r>
      <w:r>
        <w:t>). There was a trend-level difference in inverse temperature (</w:t>
      </w:r>
      <m:oMath>
        <m:r>
          <w:rPr>
            <w:rFonts w:ascii="Cambria Math" w:hAnsi="Cambria Math"/>
          </w:rPr>
          <m:t>β</m:t>
        </m:r>
      </m:oMath>
      <w:r>
        <w:t>) between groups (</w:t>
      </w:r>
      <m:oMath>
        <m:r>
          <w:rPr>
            <w:rFonts w:ascii="Cambria Math" w:hAnsi="Cambria Math"/>
          </w:rPr>
          <m:t>Media</m:t>
        </m:r>
        <m:sSub>
          <m:sSubPr>
            <m:ctrlPr>
              <w:rPr>
                <w:rFonts w:ascii="Cambria Math" w:hAnsi="Cambria Math"/>
                <w:i/>
              </w:rPr>
            </m:ctrlPr>
          </m:sSubPr>
          <m:e>
            <m:r>
              <w:rPr>
                <w:rFonts w:ascii="Cambria Math" w:hAnsi="Cambria Math"/>
              </w:rPr>
              <m:t>n</m:t>
            </m:r>
          </m:e>
          <m:sub>
            <m:r>
              <w:rPr>
                <w:rFonts w:ascii="Cambria Math" w:hAnsi="Cambria Math"/>
              </w:rPr>
              <m:t>HC</m:t>
            </m:r>
          </m:sub>
        </m:sSub>
        <m:r>
          <w:rPr>
            <w:rFonts w:ascii="Cambria Math" w:hAnsi="Cambria Math"/>
          </w:rPr>
          <m:t xml:space="preserve"> = 3.577, Media</m:t>
        </m:r>
        <m:sSub>
          <m:sSubPr>
            <m:ctrlPr>
              <w:rPr>
                <w:rFonts w:ascii="Cambria Math" w:hAnsi="Cambria Math"/>
                <w:i/>
              </w:rPr>
            </m:ctrlPr>
          </m:sSubPr>
          <m:e>
            <m:r>
              <w:rPr>
                <w:rFonts w:ascii="Cambria Math" w:hAnsi="Cambria Math"/>
              </w:rPr>
              <m:t>n</m:t>
            </m:r>
          </m:e>
          <m:sub>
            <m:r>
              <w:rPr>
                <w:rFonts w:ascii="Cambria Math" w:hAnsi="Cambria Math"/>
              </w:rPr>
              <m:t>SZ</m:t>
            </m:r>
          </m:sub>
        </m:sSub>
        <m:r>
          <w:rPr>
            <w:rFonts w:ascii="Cambria Math" w:hAnsi="Cambria Math"/>
          </w:rPr>
          <m:t xml:space="preserve"> = 3.499; p = .069</m:t>
        </m:r>
      </m:oMath>
      <w:r>
        <w:t>). Furthermore, overall model fit (Pseudo-</w:t>
      </w:r>
      <w:r>
        <w:rPr>
          <w:rStyle w:val="math-inline"/>
        </w:rPr>
        <w:t>R</w:t>
      </w:r>
      <w:r w:rsidRPr="00FF41E9">
        <w:rPr>
          <w:rStyle w:val="math-inline"/>
          <w:vertAlign w:val="superscript"/>
        </w:rPr>
        <w:t>2</w:t>
      </w:r>
      <w:r>
        <w:t>) was significantly lower in patients (</w:t>
      </w:r>
      <m:oMath>
        <m:r>
          <w:rPr>
            <w:rFonts w:ascii="Cambria Math" w:hAnsi="Cambria Math"/>
          </w:rPr>
          <m:t>Median = 0.047</m:t>
        </m:r>
      </m:oMath>
      <w:r>
        <w:t>) than controls (</w:t>
      </w:r>
      <m:oMath>
        <m:r>
          <w:rPr>
            <w:rFonts w:ascii="Cambria Math" w:hAnsi="Cambria Math"/>
          </w:rPr>
          <m:t>Median = 0.178; p = 0.0070</m:t>
        </m:r>
      </m:oMath>
      <w:r w:rsidR="00E1393E">
        <w:t xml:space="preserve">, </w:t>
      </w:r>
      <w:r w:rsidR="00E1393E" w:rsidRPr="00E1393E">
        <w:t xml:space="preserve">surviving Bonferroni correction at </w:t>
      </w:r>
      <m:oMath>
        <m:sSub>
          <m:sSubPr>
            <m:ctrlPr>
              <w:rPr>
                <w:rFonts w:ascii="Cambria Math" w:hAnsi="Cambria Math"/>
                <w:i/>
              </w:rPr>
            </m:ctrlPr>
          </m:sSubPr>
          <m:e>
            <m:r>
              <w:rPr>
                <w:rFonts w:ascii="Cambria Math" w:hAnsi="Cambria Math"/>
              </w:rPr>
              <m:t>α</m:t>
            </m:r>
          </m:e>
          <m:sub>
            <m:r>
              <w:rPr>
                <w:rFonts w:ascii="Cambria Math" w:hAnsi="Cambria Math"/>
              </w:rPr>
              <m:t>corrected</m:t>
            </m:r>
          </m:sub>
        </m:sSub>
        <m:r>
          <w:rPr>
            <w:rFonts w:ascii="Cambria Math" w:hAnsi="Cambria Math"/>
          </w:rPr>
          <m:t xml:space="preserve"> = 0.0166</m:t>
        </m:r>
      </m:oMath>
      <w:r>
        <w:t>).</w:t>
      </w:r>
      <w:r w:rsidR="00E1393E">
        <w:t xml:space="preserve"> </w:t>
      </w:r>
    </w:p>
    <w:p w14:paraId="19138025" w14:textId="77777777" w:rsidR="00FF41E9" w:rsidRDefault="00FF41E9"/>
    <w:p w14:paraId="405D5ACC" w14:textId="043B201D" w:rsidR="00FF41E9" w:rsidRDefault="00FF41E9">
      <w:r>
        <w:rPr>
          <w:noProof/>
          <w14:ligatures w14:val="standardContextual"/>
        </w:rPr>
        <w:drawing>
          <wp:inline distT="0" distB="0" distL="0" distR="0" wp14:anchorId="6B4B9AA0" wp14:editId="7313F44D">
            <wp:extent cx="5943600" cy="2476500"/>
            <wp:effectExtent l="0" t="0" r="0" b="0"/>
            <wp:docPr id="1757456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56300"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265888" w14:textId="77777777" w:rsidR="00A94C5E" w:rsidRDefault="00A94C5E">
      <w:pPr>
        <w:rPr>
          <w:i/>
          <w:iCs/>
          <w:sz w:val="20"/>
          <w:szCs w:val="20"/>
        </w:rPr>
      </w:pPr>
    </w:p>
    <w:p w14:paraId="4DCB3308" w14:textId="3C13295B" w:rsidR="00A94C5E" w:rsidRPr="00A94C5E" w:rsidRDefault="00A94C5E">
      <w:pPr>
        <w:rPr>
          <w:i/>
          <w:iCs/>
          <w:sz w:val="20"/>
          <w:szCs w:val="20"/>
        </w:rPr>
      </w:pPr>
      <w:r w:rsidRPr="00A94C5E">
        <w:rPr>
          <w:i/>
          <w:iCs/>
          <w:sz w:val="20"/>
          <w:szCs w:val="20"/>
        </w:rPr>
        <w:t xml:space="preserve">Figure 4. </w:t>
      </w:r>
    </w:p>
    <w:p w14:paraId="62A778F5" w14:textId="77777777" w:rsidR="00FF41E9" w:rsidRDefault="00FF41E9"/>
    <w:p w14:paraId="7A86A269" w14:textId="611625FC" w:rsidR="00FF41E9" w:rsidRDefault="00C830CD" w:rsidP="00C830CD">
      <w:pPr>
        <w:pStyle w:val="Duz2"/>
      </w:pPr>
      <w:r>
        <w:t>3.</w:t>
      </w:r>
      <w:r w:rsidR="00E518CB">
        <w:t>4</w:t>
      </w:r>
      <w:r>
        <w:t xml:space="preserve"> </w:t>
      </w:r>
      <w:r w:rsidR="00FF41E9">
        <w:t>Clinical Correlates of Computational Parameters</w:t>
      </w:r>
    </w:p>
    <w:p w14:paraId="0FAF41A2" w14:textId="6A389305" w:rsidR="00C830CD" w:rsidRDefault="00C830CD" w:rsidP="00C830CD">
      <w:r w:rsidRPr="00C830CD">
        <w:t xml:space="preserve">Multiple linear regression analyses were conducted within the Schizophrenia cohort (N=27) to evaluate the influence of Duration of Illness (DOI) and positive symptom severity (PANSS positive z-score) on computational parameters. The model predicting learning rate </w:t>
      </w:r>
      <w:r>
        <w:t>(</w:t>
      </w:r>
      <m:oMath>
        <m:r>
          <w:rPr>
            <w:rFonts w:ascii="Cambria Math" w:hAnsi="Cambria Math"/>
          </w:rPr>
          <m:t>α</m:t>
        </m:r>
      </m:oMath>
      <w:r w:rsidRPr="00C830CD">
        <w:t>) was not significant (</w:t>
      </w:r>
      <m:oMath>
        <m:r>
          <w:rPr>
            <w:rFonts w:ascii="Cambria Math" w:hAnsi="Cambria Math"/>
          </w:rPr>
          <m:t>F(2, 24) = 1.82, p = .184</m:t>
        </m:r>
      </m:oMath>
      <w:r w:rsidRPr="00C830CD">
        <w:t>). However, the model predicting log-transformed inverse temperature (</w:t>
      </w:r>
      <m:oMath>
        <m:r>
          <w:rPr>
            <w:rFonts w:ascii="Cambria Math" w:hAnsi="Cambria Math"/>
          </w:rPr>
          <m:t>β</m:t>
        </m:r>
      </m:oMath>
      <w:r w:rsidRPr="00C830CD">
        <w:t>) was statistically significant (</w:t>
      </w:r>
      <m:oMath>
        <m:r>
          <w:rPr>
            <w:rFonts w:ascii="Cambria Math" w:hAnsi="Cambria Math"/>
          </w:rPr>
          <m:t xml:space="preserve">F(2, 24) = 4.02, p = .031,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 0.25</m:t>
        </m:r>
      </m:oMath>
      <w:r w:rsidRPr="00C830CD">
        <w:t xml:space="preserve">). Specifically, higher positive symptom severity was significantly associated with lower </w:t>
      </w:r>
      <m:oMath>
        <m:r>
          <w:rPr>
            <w:rFonts w:ascii="Cambria Math" w:hAnsi="Cambria Math"/>
          </w:rPr>
          <m:t>β (t = -2.51,  p = .019)</m:t>
        </m:r>
      </m:oMath>
      <w:r>
        <w:t xml:space="preserve">. </w:t>
      </w:r>
      <w:r w:rsidRPr="00C830CD">
        <w:t xml:space="preserve">DOI showed only a trend-level positive association with </w:t>
      </w:r>
      <m:oMath>
        <m:r>
          <w:rPr>
            <w:rFonts w:ascii="Cambria Math" w:hAnsi="Cambria Math"/>
          </w:rPr>
          <m:t xml:space="preserve">β </m:t>
        </m:r>
        <m:d>
          <m:dPr>
            <m:ctrlPr>
              <w:rPr>
                <w:rFonts w:ascii="Cambria Math" w:hAnsi="Cambria Math"/>
                <w:i/>
              </w:rPr>
            </m:ctrlPr>
          </m:dPr>
          <m:e>
            <m:r>
              <w:rPr>
                <w:rFonts w:ascii="Cambria Math" w:hAnsi="Cambria Math"/>
              </w:rPr>
              <m:t>t = 1.82, p = .082</m:t>
            </m:r>
          </m:e>
        </m:d>
        <m:r>
          <w:rPr>
            <w:rFonts w:ascii="Cambria Math" w:hAnsi="Cambria Math"/>
          </w:rPr>
          <m:t>.</m:t>
        </m:r>
      </m:oMath>
    </w:p>
    <w:p w14:paraId="7D902CAC" w14:textId="77777777" w:rsidR="00FF41E9" w:rsidRDefault="00FF41E9"/>
    <w:p w14:paraId="0B64C031" w14:textId="2ED6F9C2" w:rsidR="00C830CD" w:rsidRDefault="00C830CD" w:rsidP="00C830CD">
      <w:pPr>
        <w:pStyle w:val="Duz2"/>
      </w:pPr>
      <w:r>
        <w:t>3.</w:t>
      </w:r>
      <w:r w:rsidR="00E518CB">
        <w:t>5</w:t>
      </w:r>
      <w:r>
        <w:t xml:space="preserve"> Trial-by-Trial Prediction Error Magnitudes</w:t>
      </w:r>
    </w:p>
    <w:p w14:paraId="4CD8B207" w14:textId="2B02C44C" w:rsidR="00C830CD" w:rsidRDefault="00C830CD" w:rsidP="00C830CD">
      <w:pPr>
        <w:rPr>
          <w:b/>
          <w:bCs/>
        </w:rPr>
      </w:pPr>
      <w:r>
        <w:t>A Linear Mixed-Effects Model (LMM) was employed to analyze the magnitude of absolute prediction errors (|PE|) across the three task phases, controlling for age and sex. Neither age (</w:t>
      </w:r>
      <m:oMath>
        <m:r>
          <w:rPr>
            <w:rFonts w:ascii="Cambria Math" w:hAnsi="Cambria Math"/>
          </w:rPr>
          <m:t>p = .868</m:t>
        </m:r>
      </m:oMath>
      <w:r>
        <w:t>) nor sex (</w:t>
      </w:r>
      <m:oMath>
        <m:r>
          <w:rPr>
            <w:rFonts w:ascii="Cambria Math" w:hAnsi="Cambria Math"/>
          </w:rPr>
          <m:t>p = .852</m:t>
        </m:r>
      </m:oMath>
      <w:r>
        <w:t>) significantly predicted |PE|. While there was no overall main effect of group on |PE| at baseline (</w:t>
      </w:r>
      <m:oMath>
        <m:r>
          <w:rPr>
            <w:rFonts w:ascii="Cambria Math" w:hAnsi="Cambria Math"/>
          </w:rPr>
          <m:t>p = .776</m:t>
        </m:r>
      </m:oMath>
      <w:r>
        <w:t>), there was a significant main effect of task block: Healthy Controls experienced significantly higher |PE| during the volatile second block compared to the initial block (</w:t>
      </w:r>
      <m:oMath>
        <m:r>
          <w:rPr>
            <w:rFonts w:ascii="Cambria Math" w:hAnsi="Cambria Math"/>
          </w:rPr>
          <m:t>Coefficient = 0.032, z = 2.74, p = .006</m:t>
        </m:r>
      </m:oMath>
      <w:r>
        <w:t xml:space="preserve">). Crucially, a significant </w:t>
      </w:r>
      <m:oMath>
        <m:r>
          <w:rPr>
            <w:rFonts w:ascii="Cambria Math" w:hAnsi="Cambria Math"/>
          </w:rPr>
          <m:t>Group × Block</m:t>
        </m:r>
      </m:oMath>
      <w:r>
        <w:t xml:space="preserve"> interaction emerged for the second block (</w:t>
      </w:r>
      <m:oMath>
        <m:r>
          <w:rPr>
            <w:rFonts w:ascii="Cambria Math" w:hAnsi="Cambria Math"/>
          </w:rPr>
          <m:t>Coefficient = -0.039, z = -2.07, p = .038</m:t>
        </m:r>
      </m:oMath>
      <w:r>
        <w:t xml:space="preserve">). Prediction error magnitudes stabilized with no significant group interaction during the final </w:t>
      </w:r>
      <w:r w:rsidR="008D1EBB">
        <w:t>block</w:t>
      </w:r>
      <w:r>
        <w:t xml:space="preserve"> (</w:t>
      </w:r>
      <m:oMath>
        <m:r>
          <w:rPr>
            <w:rFonts w:ascii="Cambria Math" w:hAnsi="Cambria Math"/>
          </w:rPr>
          <m:t>p = .878</m:t>
        </m:r>
      </m:oMath>
      <w:r>
        <w:t>).</w:t>
      </w:r>
      <w:r w:rsidR="008D1EBB" w:rsidRPr="008D1EBB">
        <w:t xml:space="preserve"> </w:t>
      </w:r>
      <w:r w:rsidR="008D1EBB">
        <w:t xml:space="preserve">Model assumptions, including normality of residuals and </w:t>
      </w:r>
      <w:r w:rsidR="008D1EBB">
        <w:lastRenderedPageBreak/>
        <w:t xml:space="preserve">homoscedasticity, were verified via visual inspection of Q-Q and residual-versus-fitted plots </w:t>
      </w:r>
      <w:r w:rsidR="008D1EBB">
        <w:rPr>
          <w:b/>
          <w:bCs/>
        </w:rPr>
        <w:t>(</w:t>
      </w:r>
      <w:r w:rsidR="008D1EBB" w:rsidRPr="008D1EBB">
        <w:t>see Supplementary Material</w:t>
      </w:r>
      <w:r w:rsidR="008D1EBB">
        <w:rPr>
          <w:b/>
          <w:bCs/>
        </w:rPr>
        <w:t>)</w:t>
      </w:r>
    </w:p>
    <w:p w14:paraId="5BFDB826" w14:textId="77777777" w:rsidR="00883EFD" w:rsidRDefault="00883EFD" w:rsidP="00C830CD">
      <w:pPr>
        <w:rPr>
          <w:b/>
          <w:bCs/>
        </w:rPr>
      </w:pPr>
    </w:p>
    <w:p w14:paraId="08DE7116" w14:textId="76809BF2" w:rsidR="00883EFD" w:rsidRDefault="00883EFD" w:rsidP="00883EFD">
      <w:pPr>
        <w:pStyle w:val="Duz2"/>
      </w:pPr>
      <w:r>
        <w:t>3.6 Neural Correlates of Prediction Error</w:t>
      </w:r>
    </w:p>
    <w:p w14:paraId="6B66FAE0" w14:textId="5E0F809C" w:rsidR="00883EFD" w:rsidRDefault="00883EFD" w:rsidP="00883EFD">
      <w:r w:rsidRPr="00883EFD">
        <w:t xml:space="preserve">To identify the neural substrates of computational learning, we first examined BOLD signals parametrically modulated by </w:t>
      </w:r>
      <w:r>
        <w:t xml:space="preserve">normalized </w:t>
      </w:r>
      <w:r w:rsidRPr="00883EFD">
        <w:t xml:space="preserve">trial-by-trial prediction errors (PE) at the onset of trustee feedback. Within the </w:t>
      </w:r>
      <w:r>
        <w:t>HC</w:t>
      </w:r>
      <w:r w:rsidRPr="00883EFD">
        <w:t xml:space="preserve"> group, whole-brain analysis (height threshold </w:t>
      </w:r>
      <m:oMath>
        <m:r>
          <w:rPr>
            <w:rFonts w:ascii="Cambria Math" w:hAnsi="Cambria Math"/>
          </w:rPr>
          <m:t>p &lt; 0.001</m:t>
        </m:r>
      </m:oMath>
      <w:r w:rsidRPr="00883EFD">
        <w:t xml:space="preserve"> uncorrected; cluster extent FWE-corrected </w:t>
      </w:r>
      <m:oMath>
        <m:r>
          <w:rPr>
            <w:rFonts w:ascii="Cambria Math" w:hAnsi="Cambria Math"/>
          </w:rPr>
          <m:t>p &lt; 0.05</m:t>
        </m:r>
      </m:oMath>
      <w:r w:rsidRPr="00883EFD">
        <w:t xml:space="preserve">) revealed </w:t>
      </w:r>
      <w:r w:rsidR="00DE54DE">
        <w:t xml:space="preserve">robust activation tracking PE. The most prominent cluster </w:t>
      </w:r>
      <w:r w:rsidRPr="00883EFD">
        <w:t>(</w:t>
      </w:r>
      <m:oMath>
        <m:r>
          <w:rPr>
            <w:rFonts w:ascii="Cambria Math" w:hAnsi="Cambria Math"/>
          </w:rPr>
          <m:t xml:space="preserve">k = 1833 </m:t>
        </m:r>
      </m:oMath>
      <w:r w:rsidRPr="00883EFD">
        <w:t>voxels) peaked in the left visual/occipital cortex (Peak MNI: [-</w:t>
      </w:r>
      <w:r w:rsidR="00DE54DE">
        <w:t>42</w:t>
      </w:r>
      <w:r w:rsidRPr="00883EFD">
        <w:t>, -</w:t>
      </w:r>
      <w:r w:rsidR="00DE54DE">
        <w:t>67</w:t>
      </w:r>
      <w:r w:rsidRPr="00883EFD">
        <w:t>, -</w:t>
      </w:r>
      <w:r w:rsidR="00DE54DE">
        <w:t>7</w:t>
      </w:r>
      <w:r w:rsidRPr="00883EFD">
        <w:t xml:space="preserve">], </w:t>
      </w:r>
      <m:oMath>
        <m:r>
          <w:rPr>
            <w:rFonts w:ascii="Cambria Math" w:hAnsi="Cambria Math"/>
          </w:rPr>
          <m:t>Z = 5.82</m:t>
        </m:r>
      </m:oMath>
      <w:r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0.005</m:t>
        </m:r>
      </m:oMath>
      <w:r w:rsidRPr="00883EFD">
        <w:t>). A second significant cluster (</w:t>
      </w:r>
      <m:oMath>
        <m:r>
          <w:rPr>
            <w:rFonts w:ascii="Cambria Math" w:hAnsi="Cambria Math"/>
          </w:rPr>
          <m:t>k = 223</m:t>
        </m:r>
      </m:oMath>
      <w:r w:rsidRPr="00883EFD">
        <w:t xml:space="preserve"> voxels) was identified in the </w:t>
      </w:r>
      <w:r w:rsidR="00DE54DE">
        <w:t xml:space="preserve">caudate/nucleus </w:t>
      </w:r>
      <w:proofErr w:type="spellStart"/>
      <w:r w:rsidR="00DE54DE">
        <w:t>accumbens</w:t>
      </w:r>
      <w:proofErr w:type="spellEnd"/>
      <w:r w:rsidR="00DE54DE">
        <w:t xml:space="preserve"> regions </w:t>
      </w:r>
      <w:r w:rsidRPr="00883EFD">
        <w:t>(</w:t>
      </w:r>
      <w:proofErr w:type="spellStart"/>
      <w:r w:rsidR="00714B07">
        <w:t>Neuromorphemetrics</w:t>
      </w:r>
      <w:proofErr w:type="spellEnd"/>
      <w:r w:rsidR="00714B07">
        <w:t xml:space="preserve"> Atlas, </w:t>
      </w:r>
      <w:r w:rsidRPr="00883EFD">
        <w:t xml:space="preserve">Peak MNI: [12, </w:t>
      </w:r>
      <w:r w:rsidR="00DE54DE">
        <w:t>20</w:t>
      </w:r>
      <w:r w:rsidRPr="00883EFD">
        <w:t xml:space="preserve">, </w:t>
      </w:r>
      <w:r w:rsidR="00DE54DE">
        <w:t>-1</w:t>
      </w:r>
      <w:r w:rsidRPr="00883EFD">
        <w:t xml:space="preserve">], </w:t>
      </w:r>
      <m:oMath>
        <m:r>
          <w:rPr>
            <w:rFonts w:ascii="Cambria Math" w:hAnsi="Cambria Math"/>
          </w:rPr>
          <m:t>Z = 4.73</m:t>
        </m:r>
      </m:oMath>
      <w:r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0.016</m:t>
        </m:r>
      </m:oMath>
      <w:r w:rsidRPr="00883EFD">
        <w:t xml:space="preserve">). </w:t>
      </w:r>
      <w:r w:rsidR="00DE54DE">
        <w:t xml:space="preserve">Lastly, </w:t>
      </w:r>
      <w:r w:rsidR="00337F2E">
        <w:t xml:space="preserve">a smaller cluster (k=27) was significant at right ventral striatum </w:t>
      </w:r>
      <w:r w:rsidR="00337F2E" w:rsidRPr="00883EFD">
        <w:t>(</w:t>
      </w:r>
      <w:proofErr w:type="spellStart"/>
      <w:r w:rsidR="00337F2E">
        <w:t>Neuromorphemetrics</w:t>
      </w:r>
      <w:proofErr w:type="spellEnd"/>
      <w:r w:rsidR="00337F2E">
        <w:t xml:space="preserve"> Atlas, </w:t>
      </w:r>
      <w:r w:rsidR="00337F2E" w:rsidRPr="00883EFD">
        <w:t>Peak MNI: [1</w:t>
      </w:r>
      <w:r w:rsidR="00337F2E">
        <w:t>5</w:t>
      </w:r>
      <w:r w:rsidR="00337F2E" w:rsidRPr="00883EFD">
        <w:t xml:space="preserve">, </w:t>
      </w:r>
      <w:r w:rsidR="00337F2E">
        <w:t>-7</w:t>
      </w:r>
      <w:r w:rsidR="00337F2E" w:rsidRPr="00883EFD">
        <w:t xml:space="preserve">, </w:t>
      </w:r>
      <w:r w:rsidR="00337F2E">
        <w:t>-13</w:t>
      </w:r>
      <w:r w:rsidR="00337F2E" w:rsidRPr="00883EFD">
        <w:t xml:space="preserve">], </w:t>
      </w:r>
      <m:oMath>
        <m:r>
          <w:rPr>
            <w:rFonts w:ascii="Cambria Math" w:hAnsi="Cambria Math"/>
          </w:rPr>
          <m:t>Z = 4.54</m:t>
        </m:r>
      </m:oMath>
      <w:r w:rsidR="00337F2E"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0.036</m:t>
        </m:r>
      </m:oMath>
      <w:r w:rsidR="00337F2E" w:rsidRPr="00883EFD">
        <w:t>)</w:t>
      </w:r>
      <w:r w:rsidR="00337F2E">
        <w:t xml:space="preserve">. </w:t>
      </w:r>
      <w:r w:rsidR="00337F2E" w:rsidRPr="00337F2E">
        <w:t>This confirms that healthy participants generated statistically significant neural updating signals in response to social feedback.</w:t>
      </w:r>
    </w:p>
    <w:p w14:paraId="53510A67" w14:textId="77777777" w:rsidR="00883EFD" w:rsidRDefault="00883EFD" w:rsidP="00883EFD"/>
    <w:p w14:paraId="5FC82B85" w14:textId="7BE2B53D" w:rsidR="00883EFD" w:rsidRDefault="00883EFD" w:rsidP="00714B07">
      <w:pPr>
        <w:pStyle w:val="Duz2"/>
      </w:pPr>
      <w:r>
        <w:t xml:space="preserve">3.7 Group Differences in Prediction Error Signaling </w:t>
      </w:r>
    </w:p>
    <w:p w14:paraId="682DDFCD" w14:textId="3FE2BB0C" w:rsidR="00883EFD" w:rsidRDefault="00714B07" w:rsidP="00883EFD">
      <w:r w:rsidRPr="00714B07">
        <w:t xml:space="preserve">Crucially, consistent with the observed behavioral impairments, a whole-brain two-sample t-test (HC &gt; SZ) revealed a significant reduction in PE-related neural activation in the </w:t>
      </w:r>
      <w:r>
        <w:t>SZ</w:t>
      </w:r>
      <w:r w:rsidRPr="00714B07">
        <w:t xml:space="preserve"> cohort. Compared to </w:t>
      </w:r>
      <w:r>
        <w:t>HC</w:t>
      </w:r>
      <w:r w:rsidRPr="00714B07">
        <w:t xml:space="preserve">, </w:t>
      </w:r>
      <w:r>
        <w:t>SZ</w:t>
      </w:r>
      <w:r w:rsidRPr="00714B07">
        <w:t xml:space="preserve"> exhibited significantly blunted PE signaling in a large cluster located in the left lateral occipital cortex / middle occipital gyrus</w:t>
      </w:r>
      <w:r w:rsidR="009236F1">
        <w:t xml:space="preserve"> including fusiform gyrus</w:t>
      </w:r>
      <w:r>
        <w:t xml:space="preserve"> </w:t>
      </w:r>
      <w:r w:rsidRPr="00714B07">
        <w:t>(</w:t>
      </w:r>
      <w:proofErr w:type="spellStart"/>
      <w:r>
        <w:t>Neuromorphemetrics</w:t>
      </w:r>
      <w:proofErr w:type="spellEnd"/>
      <w:r>
        <w:t xml:space="preserve"> Atlas, </w:t>
      </w:r>
      <w:r w:rsidRPr="00714B07">
        <w:t xml:space="preserve">Peak MNI: [-27, -70, -1], cluster size </w:t>
      </w:r>
      <m:oMath>
        <m:r>
          <w:rPr>
            <w:rFonts w:ascii="Cambria Math" w:hAnsi="Cambria Math"/>
          </w:rPr>
          <m:t>k = 177</m:t>
        </m:r>
      </m:oMath>
      <w:r w:rsidRPr="00714B07">
        <w:t xml:space="preserve"> voxels, peak </w:t>
      </w:r>
      <m:oMath>
        <m:r>
          <w:rPr>
            <w:rFonts w:ascii="Cambria Math" w:hAnsi="Cambria Math"/>
          </w:rPr>
          <m:t>Z = 4.83</m:t>
        </m:r>
      </m:oMath>
      <w:r w:rsidRPr="00714B07">
        <w:t xml:space="preserve">, </w:t>
      </w:r>
      <w:r w:rsidR="00337F2E">
        <w:t>peak</w:t>
      </w:r>
      <w:r w:rsidRPr="00714B07">
        <w:t xml:space="preserve"> </w:t>
      </w:r>
      <m:oMath>
        <m:sSub>
          <m:sSubPr>
            <m:ctrlPr>
              <w:rPr>
                <w:rFonts w:ascii="Cambria Math" w:hAnsi="Cambria Math"/>
                <w:i/>
              </w:rPr>
            </m:ctrlPr>
          </m:sSubPr>
          <m:e>
            <m:r>
              <w:rPr>
                <w:rFonts w:ascii="Cambria Math" w:hAnsi="Cambria Math"/>
              </w:rPr>
              <m:t>p</m:t>
            </m:r>
          </m:e>
          <m:sub>
            <m:r>
              <w:rPr>
                <w:rFonts w:ascii="Cambria Math" w:hAnsi="Cambria Math"/>
              </w:rPr>
              <m:t>FWE</m:t>
            </m:r>
          </m:sub>
        </m:sSub>
      </m:oMath>
      <w:r w:rsidRPr="00714B07">
        <w:t xml:space="preserve"> = 0.001). No regions showed significantly greater PE-related activation in the </w:t>
      </w:r>
      <w:r>
        <w:t>SZ</w:t>
      </w:r>
      <w:r w:rsidRPr="00714B07">
        <w:t xml:space="preserve"> group compared to controls. </w:t>
      </w:r>
    </w:p>
    <w:p w14:paraId="636DC37C" w14:textId="77777777" w:rsidR="00714B07" w:rsidRDefault="00714B07" w:rsidP="00883EFD"/>
    <w:p w14:paraId="3C206CF1" w14:textId="77777777" w:rsidR="00714B07" w:rsidRDefault="00714B07" w:rsidP="00883EFD"/>
    <w:p w14:paraId="77BAEC47" w14:textId="77777777" w:rsidR="00714B07" w:rsidRDefault="00714B07" w:rsidP="00883EFD"/>
    <w:p w14:paraId="0717F822" w14:textId="77777777" w:rsidR="00714B07" w:rsidRDefault="00714B07" w:rsidP="00883EFD"/>
    <w:p w14:paraId="62A05750" w14:textId="77777777" w:rsidR="00714B07" w:rsidRDefault="00714B07" w:rsidP="00883EFD"/>
    <w:p w14:paraId="5E6B81D1" w14:textId="551A8088" w:rsidR="00714B07" w:rsidRDefault="009236F1" w:rsidP="00883EFD">
      <w:r>
        <w:rPr>
          <w:noProof/>
          <w14:ligatures w14:val="standardContextual"/>
        </w:rPr>
        <w:drawing>
          <wp:inline distT="0" distB="0" distL="0" distR="0" wp14:anchorId="74C1D2EB" wp14:editId="1719C9CB">
            <wp:extent cx="4089400" cy="1905000"/>
            <wp:effectExtent l="0" t="0" r="0" b="0"/>
            <wp:docPr id="1538046135" name="Picture 1" descr="A close-up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6135" name="Picture 1" descr="A close-up of a brai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89400" cy="1905000"/>
                    </a:xfrm>
                    <a:prstGeom prst="rect">
                      <a:avLst/>
                    </a:prstGeom>
                  </pic:spPr>
                </pic:pic>
              </a:graphicData>
            </a:graphic>
          </wp:inline>
        </w:drawing>
      </w:r>
    </w:p>
    <w:p w14:paraId="7411D39E" w14:textId="349547F7" w:rsidR="00E03EF7" w:rsidRDefault="00E03EF7" w:rsidP="00883EFD">
      <w:r>
        <w:t xml:space="preserve">Figure 5. </w:t>
      </w:r>
    </w:p>
    <w:p w14:paraId="0F37257F" w14:textId="25302C0F" w:rsidR="00714B07" w:rsidRDefault="00714B07" w:rsidP="00883EFD"/>
    <w:p w14:paraId="04C45C76" w14:textId="77777777" w:rsidR="00714B07" w:rsidRDefault="00714B07" w:rsidP="00883EFD"/>
    <w:p w14:paraId="5071C708" w14:textId="563CAE9F" w:rsidR="00714B07" w:rsidRDefault="00714B07" w:rsidP="00714B07">
      <w:pPr>
        <w:pStyle w:val="Duz1"/>
      </w:pPr>
      <w:r>
        <w:t xml:space="preserve">4. Discussion </w:t>
      </w:r>
    </w:p>
    <w:p w14:paraId="140E862A" w14:textId="22EE987B" w:rsidR="008D1EBB" w:rsidRDefault="002304DC" w:rsidP="00C830CD">
      <w:r w:rsidRPr="002304DC">
        <w:t>The present study employed a computational neuroimaging approach to investigate the behavioral, clinical, and neural mechanisms of social reinforcement learning in Schizophrenia</w:t>
      </w:r>
      <w:r w:rsidR="00B956C5">
        <w:t xml:space="preserve"> (SZ)</w:t>
      </w:r>
      <w:r w:rsidRPr="002304DC">
        <w:t>. Our multimodal findings reveal a profound and cohesive breakdown in how patients process, evaluate, and neurologically represent dynamic social feedback. This deficit spans from a failure to utilize basic behavioral heuristics to a fundamental disruption in neural prediction error signaling within canonical reward and mentalizing networks.</w:t>
      </w:r>
    </w:p>
    <w:p w14:paraId="17284936" w14:textId="77777777" w:rsidR="002304DC" w:rsidRDefault="002304DC" w:rsidP="00C830CD"/>
    <w:p w14:paraId="6B12BCB7" w14:textId="79F9985F" w:rsidR="002304DC" w:rsidRDefault="002304DC" w:rsidP="005E438A">
      <w:pPr>
        <w:pStyle w:val="Duz2"/>
      </w:pPr>
      <w:r>
        <w:t>4.1 The Breakdown of Model-Free Heuristics: Win-Stay/Loss-Shift Deficits</w:t>
      </w:r>
    </w:p>
    <w:p w14:paraId="70116EA4" w14:textId="77777777" w:rsidR="002304DC" w:rsidRDefault="002304DC" w:rsidP="00C830CD"/>
    <w:p w14:paraId="7691B18B" w14:textId="6FA626DC" w:rsidR="002304DC" w:rsidRDefault="002304DC" w:rsidP="00C830CD">
      <w:r>
        <w:t xml:space="preserve">Before employing computational modelling, our analysis of model-free behavioral strategy revealed a fundamental impairment in how patients utilized social feedback. </w:t>
      </w:r>
      <w:r w:rsidRPr="002304DC">
        <w:t xml:space="preserve">In adaptive learning environments, </w:t>
      </w:r>
      <w:r>
        <w:t>HC</w:t>
      </w:r>
      <w:r w:rsidRPr="002304DC">
        <w:t xml:space="preserve"> typically rely on a "Win-Stay/Loss-Shift" (WSLS) heuristic, repeating choices that yield positive outcomes and switching strategies when faced with negative outcomes.</w:t>
      </w:r>
      <w:r>
        <w:t xml:space="preserve"> In contrast, SZ cohort exhibited a significant reduction in “Win-Stay” </w:t>
      </w:r>
      <w:r w:rsidR="005E438A">
        <w:t>behavior</w:t>
      </w:r>
      <w:r>
        <w:t xml:space="preserve">, frequently failing to re-invest with the trustee even immediately following a mutually profitable, cooperative interaction. </w:t>
      </w:r>
      <w:r w:rsidR="005E438A" w:rsidRPr="005E438A">
        <w:t>This failure to capitalize on positive social reinforcement aligns with established literature characterizing schizophrenia by profound deficits in reward processing and value representation</w:t>
      </w:r>
      <w:r w:rsidR="005E438A">
        <w:fldChar w:fldCharType="begin"/>
      </w:r>
      <w:r w:rsidR="00A107F8">
        <w:instrText xml:space="preserve"> ADDIN ZOTERO_ITEM CSL_CITATION {"citationID":"JIT9Rv6J","properties":{"formattedCitation":"(10)","plainCitation":"(10)","noteIndex":0},"citationItems":[{"id":5457,"uris":["http://zotero.org/users/9264269/items/5A3ZTGED"],"itemData":{"id":5457,"type":"chapter","abstract":"Motivational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5E438A">
        <w:fldChar w:fldCharType="separate"/>
      </w:r>
      <w:r w:rsidR="00A107F8">
        <w:rPr>
          <w:noProof/>
        </w:rPr>
        <w:t>(10)</w:t>
      </w:r>
      <w:r w:rsidR="005E438A">
        <w:fldChar w:fldCharType="end"/>
      </w:r>
      <w:r w:rsidR="005E438A">
        <w:t xml:space="preserve">. </w:t>
      </w:r>
      <w:r w:rsidR="005E438A" w:rsidRPr="005E438A">
        <w:t>Rather than using the trustee's reciprocal behavior to build a stable model of interpersonal trust, the patients' trial-by-trial responses appeared disconnected from the immediate feedback history.</w:t>
      </w:r>
      <w:r w:rsidR="005E438A">
        <w:t xml:space="preserve"> </w:t>
      </w:r>
    </w:p>
    <w:p w14:paraId="5E2177D8" w14:textId="77777777" w:rsidR="005E438A" w:rsidRDefault="005E438A" w:rsidP="00C830CD"/>
    <w:p w14:paraId="19AF1014" w14:textId="6721C99F" w:rsidR="005E438A" w:rsidRDefault="005E438A" w:rsidP="00C830CD">
      <w:r w:rsidRPr="005E438A">
        <w:t>While these model-free deficits clearly indicate a failure in adaptive social functioning, simple heuristics like WSLS cannot distinguish whether this failure stems from an inability to learn the value of the trustee (learning rate) or an inability to translate that learned value into consistent actions (decision noise). To isolate the precise mechanistic locus of this behavioral breakdown, we turned to computational reinforcement learning models.</w:t>
      </w:r>
    </w:p>
    <w:p w14:paraId="70FB7ADE" w14:textId="77777777" w:rsidR="005E438A" w:rsidRDefault="005E438A" w:rsidP="00C830CD"/>
    <w:p w14:paraId="3CC16491" w14:textId="6152A358" w:rsidR="005E438A" w:rsidRDefault="005E438A" w:rsidP="005E438A">
      <w:pPr>
        <w:pStyle w:val="Duz2"/>
      </w:pPr>
      <w:r>
        <w:t>4.2 Behavioral Imprecision and Inconsistent Preferences</w:t>
      </w:r>
    </w:p>
    <w:p w14:paraId="05B79CFA" w14:textId="7FB4993C" w:rsidR="00501115" w:rsidRDefault="00501115" w:rsidP="00C830CD">
      <w:r w:rsidRPr="00501115">
        <w:t>Behaviorally, computational modeling revealed that standard reinforcement learning mechanisms poorly described patient choices, as indexed by severely reduced Pseudo</w:t>
      </w:r>
      <w:r>
        <w:t>-R</w:t>
      </w:r>
      <w:r w:rsidRPr="00501115">
        <w:rPr>
          <w:vertAlign w:val="superscript"/>
        </w:rPr>
        <w:t>2</w:t>
      </w:r>
      <w:r w:rsidRPr="00501115">
        <w:t xml:space="preserve"> and blunted learning rates (</w:t>
      </w:r>
      <m:oMath>
        <m:r>
          <w:rPr>
            <w:rFonts w:ascii="Cambria Math" w:hAnsi="Cambria Math"/>
          </w:rPr>
          <m:t>α</m:t>
        </m:r>
      </m:oMath>
      <w:r w:rsidRPr="00501115">
        <w:t>). Rather than dynamically updating the expected value of the trustee based on trial-by-trial feedback, patient decision-making was highly stochastic. This aligns closely with work by Strauss et al., who demonstrated that patients with schizophrenia exhibit fundamentally inconsistent preference judgments, struggling to differentiate the relative value of affective stimuli</w:t>
      </w:r>
      <w:r>
        <w:t xml:space="preserve"> </w:t>
      </w:r>
      <w:r>
        <w:fldChar w:fldCharType="begin"/>
      </w:r>
      <w:r>
        <w:instrText xml:space="preserve"> ADDIN ZOTERO_ITEM CSL_CITATION {"citationID":"gnIvOYPq","properties":{"formattedCitation":"(29)","plainCitation":"(29)","noteIndex":0},"citationItems":[{"id":5465,"uris":["http://zotero.org/users/9264269/items/G4F3SZ3P"],"itemData":{"id":5465,"type":"article-journal","container-title":"Schizophrenia Bulletin","DOI":"10.1093/schbul/sbq047","ISSN":"0586-7614, 1745-1701","issue":"6","journalAbbreviation":"Schizophrenia Bulletin","language":"en","page":"1295-1304","source":"DOI.org (Crossref)","title":"Patients With Schizophrenia Demonstrate Inconsistent Preference Judgments for Affective and Nonaffective Stimuli","volume":"37","author":[{"family":"Strauss","given":"G. P."},{"family":"Robinson","given":"B. M."},{"family":"Waltz","given":"J. A."},{"family":"Frank","given":"M. J."},{"family":"Kasanova","given":"Z."},{"family":"Herbener","given":"E. S."},{"family":"Gold","given":"J. M."}],"issued":{"date-parts":[["2011",11,1]]}}}],"schema":"https://github.com/citation-style-language/schema/raw/master/csl-citation.json"} </w:instrText>
      </w:r>
      <w:r>
        <w:fldChar w:fldCharType="separate"/>
      </w:r>
      <w:r>
        <w:rPr>
          <w:noProof/>
        </w:rPr>
        <w:t>(29)</w:t>
      </w:r>
      <w:r>
        <w:fldChar w:fldCharType="end"/>
      </w:r>
      <w:r w:rsidRPr="00501115">
        <w:t xml:space="preserve">. Furthermore, recent evidence by Lechner et al. (2025) posits that </w:t>
      </w:r>
      <w:r w:rsidRPr="00501115">
        <w:lastRenderedPageBreak/>
        <w:t>"imprecision" represents a core pathophysiological mechanism of schizophrenia, extending down to fundamental temporal processing in the millisecond range</w:t>
      </w:r>
      <w:r>
        <w:fldChar w:fldCharType="begin"/>
      </w:r>
      <w:r>
        <w:instrText xml:space="preserve"> ADDIN ZOTERO_ITEM CSL_CITATION {"citationID":"9KhITgQp","properties":{"formattedCitation":"(30)","plainCitation":"(30)","noteIndex":0},"citationItems":[{"id":5044,"uris":["http://zotero.org/users/9264269/items/X5BTZSH2"],"itemData":{"id":5044,"type":"article-journal","container-title":"Translational Psychiatry","DOI":"10.1038/s41398-025-03510-4","ISSN":"2158-3188","issue":"1","journalAbbreviation":"Transl Psychiatry","language":"en","page":"279","source":"DOI.org (Crossref)","title":"Temporal imprecision and its dynamics in schizophrenia","volume":"15","author":[{"family":"Lechner","given":"Stephan"},{"family":"Hsieh","given":"Ming H."},{"family":"Lin","given":"Yi-Ting"},{"family":"Liu","given":"Chih-Min"},{"family":"Chen","given":"I-Fei"},{"family":"Liu","given":"Chen-Chung"},{"family":"Chien","given":"Yi-Ling"},{"family":"Hwang","given":"Tzung-Jeng"},{"family":"Hwu","given":"Hai-Gwo"},{"family":"Northoff","given":"Georg"}],"issued":{"date-parts":[["2025",8,13]]}}}],"schema":"https://github.com/citation-style-language/schema/raw/master/csl-citation.json"} </w:instrText>
      </w:r>
      <w:r>
        <w:fldChar w:fldCharType="separate"/>
      </w:r>
      <w:r>
        <w:rPr>
          <w:noProof/>
        </w:rPr>
        <w:t>(30)</w:t>
      </w:r>
      <w:r>
        <w:fldChar w:fldCharType="end"/>
      </w:r>
      <w:r w:rsidRPr="00501115">
        <w:t>. In the context of our Trust Game, the profound reduction in inverse temperature (</w:t>
      </w:r>
      <m:oMath>
        <m:r>
          <w:rPr>
            <w:rFonts w:ascii="Cambria Math" w:hAnsi="Cambria Math"/>
          </w:rPr>
          <m:t>β</m:t>
        </m:r>
      </m:oMath>
      <w:r w:rsidRPr="00501115">
        <w:t>)</w:t>
      </w:r>
      <w:r>
        <w:t xml:space="preserve">, </w:t>
      </w:r>
      <w:r w:rsidRPr="00501115">
        <w:t>our computational parameter for choice precision</w:t>
      </w:r>
      <w:r>
        <w:t xml:space="preserve">, </w:t>
      </w:r>
      <w:r w:rsidRPr="00501115">
        <w:t xml:space="preserve">suggests that this systemic imprecision also severely disrupts higher-order social valuation, rendering </w:t>
      </w:r>
      <w:proofErr w:type="gramStart"/>
      <w:r w:rsidRPr="00501115">
        <w:t>patients</w:t>
      </w:r>
      <w:proofErr w:type="gramEnd"/>
      <w:r w:rsidRPr="00501115">
        <w:t xml:space="preserve"> incapable of utilizing positive social feedback to guide consistent future behavior.</w:t>
      </w:r>
    </w:p>
    <w:p w14:paraId="5EB7A9B6" w14:textId="77777777" w:rsidR="00501115" w:rsidRDefault="00501115" w:rsidP="00C830CD"/>
    <w:p w14:paraId="7A90FA16" w14:textId="7D3852E7" w:rsidR="00501115" w:rsidRDefault="00501115" w:rsidP="00B956C5">
      <w:pPr>
        <w:pStyle w:val="Duz2"/>
      </w:pPr>
      <w:r>
        <w:t>4.3 Failure to Adapt to Social Volatility: Blunted Prediction Errors</w:t>
      </w:r>
    </w:p>
    <w:p w14:paraId="21A371B1" w14:textId="77777777" w:rsidR="00501115" w:rsidRDefault="00501115" w:rsidP="00C830CD"/>
    <w:p w14:paraId="31BD22A2" w14:textId="12F55D84" w:rsidR="00501115" w:rsidRDefault="00501115" w:rsidP="00C830CD">
      <w:r w:rsidRPr="00501115">
        <w:t>To further elucidate the temporal dynamics of this learning failure, we analyzed the magnitude of absolute prediction errors (</w:t>
      </w:r>
      <m:oMath>
        <m:d>
          <m:dPr>
            <m:begChr m:val="|"/>
            <m:endChr m:val="|"/>
            <m:ctrlPr>
              <w:rPr>
                <w:rFonts w:ascii="Cambria Math" w:hAnsi="Cambria Math"/>
                <w:i/>
              </w:rPr>
            </m:ctrlPr>
          </m:dPr>
          <m:e>
            <m:r>
              <w:rPr>
                <w:rFonts w:ascii="Cambria Math" w:hAnsi="Cambria Math"/>
              </w:rPr>
              <m:t>PE</m:t>
            </m:r>
          </m:e>
        </m:d>
      </m:oMath>
      <w:r w:rsidRPr="00501115">
        <w:t>) across the different phases of the Trust Game. In healthy environments, prediction errors should scale with environmental uncertainty; when social contingencies suddenly change, a healthy learning system generates large prediction errors to rapidly update internal models</w:t>
      </w:r>
      <w:r w:rsidR="00944E38">
        <w:t xml:space="preserve"> </w:t>
      </w:r>
      <w:r w:rsidR="00944E38">
        <w:fldChar w:fldCharType="begin"/>
      </w:r>
      <w:r w:rsidR="00944E38">
        <w:instrText xml:space="preserve"> ADDIN ZOTERO_ITEM CSL_CITATION {"citationID":"9GzYUx5R","properties":{"formattedCitation":"(27)","plainCitation":"(27)","noteIndex":0},"citationItems":[{"id":707,"uris":["http://zotero.org/users/9264269/items/62HXSG2Y"],"itemData":{"id":707,"type":"article-journal","abstract":"Social learning is fundamental to human interactions, yet its computational and physiological mechanisms are not well understood. One prominent open question concerns the role of neuromodulatory transmitters. We combined fMRI, computational modelling and genetics to address this question in two separate samples (N1/435, N1/447). Participants played a game requiring inference on an adviser's intentions whose motivation to help or mislead changed over time. Our analyses suggest that hierarchically structured belief updates about current advice validity and the adviser's trustworthiness, respectively, depend on different neuromodulatory systems. Low-level prediction errors (PEs) about advice accuracy not only activated regions known to support 'theory of mind', but also the dopaminergic midbrain. Furthermore, PE responses in ventral striatum were influenced by the Met/Val polymorphismof the Catechol-O-Methyltransferase (COMT) gene. By contrast, high-level PEs ('expected uncertainty') about the adviser's fidelity activated the cholinergic septum. These findings, replicated in both samples, have important implications: They suggest that social learning rests on hierarchically related PEs encoded by midbrain and septum activity, respectively, in the same manner as other forms of learning under volatility. Furthermore, these hierarchical PEs may be broadcast by dopaminergic and cholinergic projections to induce plasticity specifically in cortical areas known to represent beliefs about others.","container-title":"Social Cognitive and Affective Neuroscience","DOI":"10.1093/scan/nsw171","ISSN":"17495024","issue":"4","page":"618–634","PMID":"28119508","title":"Hierarchical prediction errors in midbrain and septum during social learning","volume":"12","author":[{"family":"Diaconescu","given":"Andreea O."},{"family":"Mathys","given":"Christoph"},{"family":"Weber","given":"Lilian A.E."},{"family":"Kasper","given":"Lars"},{"family":"Mauer","given":"Jan"},{"family":"Stephan","given":"Klaas E."}],"issued":{"date-parts":[["2017"]]}}}],"schema":"https://github.com/citation-style-language/schema/raw/master/csl-citation.json"} </w:instrText>
      </w:r>
      <w:r w:rsidR="00944E38">
        <w:fldChar w:fldCharType="separate"/>
      </w:r>
      <w:r w:rsidR="00944E38">
        <w:rPr>
          <w:noProof/>
        </w:rPr>
        <w:t>(27)</w:t>
      </w:r>
      <w:r w:rsidR="00944E38">
        <w:fldChar w:fldCharType="end"/>
      </w:r>
      <w:r w:rsidRPr="00501115">
        <w:t xml:space="preserve">. Our Linear Mixed-Effects Model confirmed this normative pattern in the </w:t>
      </w:r>
      <w:r w:rsidR="00944E38">
        <w:t>HC</w:t>
      </w:r>
      <w:r w:rsidRPr="00501115">
        <w:t xml:space="preserve">, who exhibited a significant increase in </w:t>
      </w:r>
      <m:oMath>
        <m:d>
          <m:dPr>
            <m:begChr m:val="|"/>
            <m:endChr m:val="|"/>
            <m:ctrlPr>
              <w:rPr>
                <w:rFonts w:ascii="Cambria Math" w:hAnsi="Cambria Math"/>
                <w:i/>
              </w:rPr>
            </m:ctrlPr>
          </m:dPr>
          <m:e>
            <m:r>
              <w:rPr>
                <w:rFonts w:ascii="Cambria Math" w:hAnsi="Cambria Math"/>
              </w:rPr>
              <m:t>PE</m:t>
            </m:r>
          </m:e>
        </m:d>
        <m:r>
          <w:rPr>
            <w:rFonts w:ascii="Cambria Math" w:hAnsi="Cambria Math"/>
          </w:rPr>
          <m:t xml:space="preserve"> </m:t>
        </m:r>
      </m:oMath>
      <w:r w:rsidRPr="00501115">
        <w:t>magnitude precisely during the volatile, 50% reward-rate phase of the task. They successfully recognized that the trustee's behavior had changed and generated the appropriate computational "surprise" signals to drive behavioral adaptation.</w:t>
      </w:r>
    </w:p>
    <w:p w14:paraId="69B0F58A" w14:textId="77777777" w:rsidR="00944E38" w:rsidRDefault="00944E38" w:rsidP="00C830CD"/>
    <w:p w14:paraId="60A8172C" w14:textId="3CC2051F" w:rsidR="00944E38" w:rsidRDefault="00944E38" w:rsidP="00C830CD">
      <w:r w:rsidRPr="00944E38">
        <w:t xml:space="preserve">In contrast, the </w:t>
      </w:r>
      <w:r>
        <w:t>SZ</w:t>
      </w:r>
      <w:r w:rsidRPr="00944E38">
        <w:t xml:space="preserve"> demonstrated a significantly blunted </w:t>
      </w:r>
      <m:oMath>
        <m:d>
          <m:dPr>
            <m:begChr m:val="|"/>
            <m:endChr m:val="|"/>
            <m:ctrlPr>
              <w:rPr>
                <w:rFonts w:ascii="Cambria Math" w:hAnsi="Cambria Math"/>
                <w:i/>
              </w:rPr>
            </m:ctrlPr>
          </m:dPr>
          <m:e>
            <m:r>
              <w:rPr>
                <w:rFonts w:ascii="Cambria Math" w:hAnsi="Cambria Math"/>
              </w:rPr>
              <m:t>PE</m:t>
            </m:r>
          </m:e>
        </m:d>
      </m:oMath>
      <w:r w:rsidR="003C5391">
        <w:t xml:space="preserve"> </w:t>
      </w:r>
      <w:r w:rsidRPr="00944E38">
        <w:t xml:space="preserve">response during this exact same volatile phase. Rather than scaling their prediction errors to match the sudden unpredictability of their social partner, the patients' computational surprise remained attenuated. This </w:t>
      </w:r>
      <m:oMath>
        <m:r>
          <w:rPr>
            <w:rFonts w:ascii="Cambria Math" w:hAnsi="Cambria Math"/>
          </w:rPr>
          <m:t>Group × Block</m:t>
        </m:r>
      </m:oMath>
      <w:r w:rsidRPr="00944E38">
        <w:t xml:space="preserve"> interaction highlights a profound deficit in higher-order social inference. As outlined by the prediction-error hypothesis of schizophrenia</w:t>
      </w:r>
      <w:r>
        <w:fldChar w:fldCharType="begin"/>
      </w:r>
      <w:r>
        <w:instrText xml:space="preserve"> ADDIN ZOTERO_ITEM CSL_CITATION {"citationID":"1Nm1WRDX","properties":{"formattedCitation":"(19,21)","plainCitation":"(19,21)","noteIndex":0},"citationItems":[{"id":4798,"uris":["http://zotero.org/users/9264269/items/S59JGGFR"],"itemData":{"id":4798,"type":"article-journal","container-title":"Human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fldChar w:fldCharType="separate"/>
      </w:r>
      <w:r>
        <w:rPr>
          <w:noProof/>
        </w:rPr>
        <w:t>(19,21)</w:t>
      </w:r>
      <w:r>
        <w:fldChar w:fldCharType="end"/>
      </w:r>
      <w:r w:rsidRPr="00944E38">
        <w:t>, dysfunction in the dopaminergic system compromises the brain's ability to reliably signal discrepancies between expected and actual rewards. In our paradigm, this dopaminergic/computational blunting means that patients were fundamentally unaware of the shifting social dynamics. Because their learning system failed to generate the necessary trial-by-trial surprise when the trustee's behavior changed, they were left unable to flexibly adapt their investment strategies, resulting in the rigid, stochastic behavioral profile captured by our model-free and model-based metrics</w:t>
      </w:r>
      <w:r>
        <w:t xml:space="preserve"> above</w:t>
      </w:r>
      <w:r w:rsidRPr="00944E38">
        <w:t>.</w:t>
      </w:r>
    </w:p>
    <w:p w14:paraId="1F74CBF2" w14:textId="77777777" w:rsidR="00501115" w:rsidRDefault="00501115" w:rsidP="00C830CD"/>
    <w:p w14:paraId="52575456" w14:textId="36CB416D" w:rsidR="00501115" w:rsidRDefault="00501115" w:rsidP="00501115">
      <w:pPr>
        <w:pStyle w:val="Duz2"/>
      </w:pPr>
      <w:r>
        <w:t>4.</w:t>
      </w:r>
      <w:r w:rsidR="003C5391">
        <w:t>4</w:t>
      </w:r>
      <w:r>
        <w:t xml:space="preserve"> Aberrant Predictive Coding, Positive Symptoms and Neural Deficits</w:t>
      </w:r>
    </w:p>
    <w:p w14:paraId="2369A562" w14:textId="0F928F3C" w:rsidR="00501115" w:rsidRDefault="00501115" w:rsidP="00C830CD">
      <w:r w:rsidRPr="00501115">
        <w:t xml:space="preserve">Crucially, we identified a direct link between this behavioral stochasticity and clinical psychopathology: higher positive symptom severity significantly predicted greater decision imprecision (lower </w:t>
      </w:r>
      <m:oMath>
        <m:r>
          <w:rPr>
            <w:rFonts w:ascii="Cambria Math" w:hAnsi="Cambria Math"/>
          </w:rPr>
          <m:t>β</m:t>
        </m:r>
      </m:oMath>
      <w:r w:rsidRPr="00501115">
        <w:t xml:space="preserve">). This relationship provides strong empirical support for predictive coding accounts of psychosis, such as those detailed by </w:t>
      </w:r>
      <w:proofErr w:type="spellStart"/>
      <w:r w:rsidRPr="00501115">
        <w:t>Horga</w:t>
      </w:r>
      <w:proofErr w:type="spellEnd"/>
      <w:r w:rsidRPr="00501115">
        <w:t xml:space="preserve"> and colleagues</w:t>
      </w:r>
      <w:r>
        <w:fldChar w:fldCharType="begin"/>
      </w:r>
      <w:r>
        <w:instrText xml:space="preserve"> ADDIN ZOTERO_ITEM CSL_CITATION {"citationID":"VNwwh9W1","properties":{"formattedCitation":"(31)","plainCitation":"(31)","noteIndex":0},"citationItems":[{"id":5470,"uris":["http://zotero.org/users/9264269/items/Q6645SFJ"],"itemData":{"id":5470,"type":"article-journal","container-title":"Journal of Neuroscience","DOI":"10.1523/JNEUROSCI.0200-14.2014","ISSN":"0270-6474, 1529-2401","issue":"24","journalAbbreviation":"Journal of Neuroscience","language":"en","page":"8072-8082","source":"DOI.org (Crossref)","title":"Deficits in Predictive Coding Underlie Hallucinations in Schizophrenia","volume":"34","author":[{"family":"Horga","given":"G."},{"family":"Schatz","given":"K. C."},{"family":"Abi-Dargham","given":"A."},{"family":"Peterson","given":"B. S."}],"issued":{"date-parts":[["2014",6,11]]}}}],"schema":"https://github.com/citation-style-language/schema/raw/master/csl-citation.json"} </w:instrText>
      </w:r>
      <w:r>
        <w:fldChar w:fldCharType="separate"/>
      </w:r>
      <w:r>
        <w:rPr>
          <w:noProof/>
        </w:rPr>
        <w:t>(31)</w:t>
      </w:r>
      <w:r>
        <w:fldChar w:fldCharType="end"/>
      </w:r>
      <w:r w:rsidRPr="00501115">
        <w:t xml:space="preserve">. According to this framework, positive symptoms like hallucinations and delusions arise from a fundamental </w:t>
      </w:r>
      <w:r w:rsidRPr="00501115">
        <w:lastRenderedPageBreak/>
        <w:t>disruption in "precision weighting"</w:t>
      </w:r>
      <w:r>
        <w:t xml:space="preserve">, </w:t>
      </w:r>
      <w:r w:rsidRPr="00501115">
        <w:t xml:space="preserve">an inability to appropriately balance the reliability of internal priors against incoming sensory prediction errors. When the precision of external social feedback is aberrantly </w:t>
      </w:r>
      <w:proofErr w:type="gramStart"/>
      <w:r w:rsidRPr="00501115">
        <w:t>down-weighted</w:t>
      </w:r>
      <w:proofErr w:type="gramEnd"/>
      <w:r w:rsidRPr="00501115">
        <w:t>, the patient cannot reliably use that feedback to update their internal models. Consequently, decision-making becomes dominated by fixed, potentially delusional internal narratives, driving the noisy and symptom-bound choice patterns observed in our computational data.</w:t>
      </w:r>
    </w:p>
    <w:p w14:paraId="4B79055B" w14:textId="77777777" w:rsidR="00501115" w:rsidRDefault="00501115" w:rsidP="00C830CD"/>
    <w:p w14:paraId="398A2F9B" w14:textId="4B560195" w:rsidR="00501115" w:rsidRDefault="00501115" w:rsidP="00C830CD">
      <w:r w:rsidRPr="00501115">
        <w:t xml:space="preserve">Our fMRI findings provide the direct neural substrate for this predictive coding failure. In </w:t>
      </w:r>
      <w:r>
        <w:t>HC</w:t>
      </w:r>
      <w:r w:rsidRPr="00501115">
        <w:t xml:space="preserve">, social </w:t>
      </w:r>
      <w:r w:rsidR="003C5391">
        <w:t>PE</w:t>
      </w:r>
      <w:r w:rsidRPr="00501115">
        <w:t xml:space="preserve"> robustly engaged both canonical reward hubs (the right ventral striatum</w:t>
      </w:r>
      <w:r>
        <w:t xml:space="preserve"> with caudate/nucleus </w:t>
      </w:r>
      <w:proofErr w:type="spellStart"/>
      <w:r>
        <w:t>accumbens</w:t>
      </w:r>
      <w:proofErr w:type="spellEnd"/>
      <w:r w:rsidRPr="00501115">
        <w:t xml:space="preserve">) and posterior sensory-processing networks (left lateral occipital cortex) to compute and propagate learning signals. In stark contrast, the </w:t>
      </w:r>
      <w:r>
        <w:t>SZ</w:t>
      </w:r>
      <w:r w:rsidRPr="00501115">
        <w:t xml:space="preserve"> cohort exhibited a severe, FWE-corrected attenuation of prediction error signaling across this exact network. Without a robust neural prediction error signal to register the "surprise" of the trustee's actions, the patient's decision-making system is deprived of accurate feedback data. </w:t>
      </w:r>
      <w:r w:rsidR="001F1042" w:rsidRPr="001F1042">
        <w:t>This deficit, particularly within the fusiform gyrus and occipital regions, aligns with shortened intrinsic neural timescales and impaired functional connectivity within early visual hierarchies</w:t>
      </w:r>
      <w:r w:rsidR="003152EC">
        <w:fldChar w:fldCharType="begin"/>
      </w:r>
      <w:r w:rsidR="003152EC">
        <w:instrText xml:space="preserve"> ADDIN ZOTERO_ITEM CSL_CITATION {"citationID":"oEyxbRGT","properties":{"formattedCitation":"(32,33)","plainCitation":"(32,33)","noteIndex":0},"citationItems":[{"id":5477,"uris":["http://zotero.org/users/9264269/items/SBL8EFJC"],"itemData":{"id":5477,"type":"article-journal","abstract":"Hierarchical perceptual-inference models of psychosis may provide a holistic framework for understanding psychosis in schizophrenia including heterogeneity in clinical presentations. Particularly, hypothesized alterations at distinct levels of the perceptual-inference hierarchy may explain why hallucinations and delusions tend to cluster together yet sometimes manifest in isolation. To test this, we used a recently developed resting-state fMRI measure of intrinsic neural timescale (INT), which reflects the time window of neural integration and captures hierarchical brain gradients. In analyses examining extended sensory hierarchies that we first validated, we found distinct hierarchical INT alterations for hallucinations versus delusions in the auditory and somatosensory systems, thus providing support for hierarchical perceptual-inference models of psychosis. Simulations using a large-scale biophysical model suggested local elevations of excitation-inhibition ratio at different hierarchical levels as a potential mechanism. More generally, our work highlights the robustness and utility of INT for studying hierarchical processes relevant to basic and clinical neuroscience.","container-title":"eLife","DOI":"10.7554/eLife.56151","ISSN":"2050-084X","language":"en","page":"e56151","source":"DOI.org (Crossref)","title":"Distinct hierarchical alterations of intrinsic neural timescales account for different manifestations of psychosis","volume":"9","author":[{"family":"Wengler","given":"Kenneth"},{"family":"Goldberg","given":"Andrew T"},{"family":"Chahine","given":"George"},{"family":"Horga","given":"Guillermo"}],"issued":{"date-parts":[["2020",10,27]]}}},{"id":5479,"uris":["http://zotero.org/users/9264269/items/2AWW3K9M"],"itemData":{"id":5479,"type":"article-journal","abstract":"Abstract\n            \n              Evidence of altered visual processing is well</w:instrText>
      </w:r>
      <w:r w:rsidR="003152EC">
        <w:rPr>
          <w:rFonts w:ascii="Cambria Math" w:hAnsi="Cambria Math" w:cs="Cambria Math"/>
        </w:rPr>
        <w:instrText>‐</w:instrText>
      </w:r>
      <w:r w:rsidR="003152EC">
        <w:instrText xml:space="preserve">established in schizophrenia. Visual integration deficits have been highlighted as a potential diagnostic biomarker to distinguish schizophrenia from other psychiatric disorders. Motivated by the current lack of cross-diagnostic assessments of visual integration performance, the current study used the Jittered Orientation Visual Integration (JOVI) task to assess contour integration performance in 85 psychiatric inpatients split into “schizophrenia spectrum” (\n              n\n               = 40) and “other psychiatric disorders” (\n              n\n               = 45), and healthy controls (\n              n\n               = 43). The study also examined attentional and working memory ability using the Digit Span Task. JOVI accuracy scores were found to be significantly impaired relative to healthy controls for both the schizophrenia (\n              p\n               &lt; 0.001) and other psychiatric (\n              p\n               &lt; 0001) patient groups. In line with a transdiagnostic deficit, no differences in JOVI accuracy were seen between the patient groups (\n              p\n               = 0.97) with reduced JOVI accuracy correlating with worsening psychosis regardless of diagnosis (\n              r\n               = −0.32,\n              p\n               &lt; 0.05). Schizophrenia spectrum patients also showed reduced Digit Span Forward (\n              p\n               &lt; 0.001) and Backward scores (\n              p\n               &lt; 0.001). The other psychiatric (\n              p\n               = 0.024) group were similarly found to be impaired in the Digit Span Backward relative to healthy controls, however no differences were seen between the patient groups. The findings indicate that contour integration deficits are not specific to schizophrenia spectrum disorders, and instead the neurobiological underpinnings of visual integration impairment may share commonality with psychosis more generally. The findings are also consistent with cognitive factors playing a potential role in JOVI performance and highlight the difficulty in teasing apart altered perceptual and cognitive function in psychiatric patient groups.","container-title":"Schizophrenia","DOI":"10.1038/s41537-025-00606-0","ISSN":"2754-6993","issue":"1","journalAbbreviation":"Schizophr","language":"en","page":"58","source":"DOI.org (Crossref)","title":"Visual integration deficits associated with psychosis are independent of diagnosis","volume":"11","author":[{"family":"Geljic","given":"Mia"},{"family":"Mitchell","given":"Matthew"},{"family":"Stevens","given":"Keri-Anne"},{"family":"Holbrook","given":"Henry"},{"family":"Darke","given":"Hayley"},{"family":"Goodbourn","given":"Patrick"},{"family":"Damicoucas","given":"Christina"},{"family":"Asghari-Jafarabadi","given":"Mohammad"},{"family":"Sundram","given":"Suresh"},{"family":"Carter","given":"Olivia"}],"issued":{"date-parts":[["2025",4,9]]}}}],"schema":"https://github.com/citation-style-language/schema/raw/master/csl-citation.json"} </w:instrText>
      </w:r>
      <w:r w:rsidR="003152EC">
        <w:fldChar w:fldCharType="separate"/>
      </w:r>
      <w:r w:rsidR="003152EC">
        <w:rPr>
          <w:noProof/>
        </w:rPr>
        <w:t>(32,33)</w:t>
      </w:r>
      <w:r w:rsidR="003152EC">
        <w:fldChar w:fldCharType="end"/>
      </w:r>
      <w:r w:rsidR="001F1042" w:rsidRPr="001F1042">
        <w:t>, indicating a fundamental breakdown in sensory precision</w:t>
      </w:r>
      <w:r w:rsidR="001F1042">
        <w:t>, potentially due to NMDA hypofunction</w:t>
      </w:r>
      <w:r w:rsidR="001F1042">
        <w:fldChar w:fldCharType="begin"/>
      </w:r>
      <w:r w:rsidR="003152EC">
        <w:instrText xml:space="preserve"> ADDIN ZOTERO_ITEM CSL_CITATION {"citationID":"2T1jRW6D","properties":{"formattedCitation":"(34\\uc0\\u8211{}36)","plainCitation":"(34–36)","noteIndex":0},"citationItems":[{"id":5475,"uris":["http://zotero.org/users/9264269/items/3UP8K58Q"],"itemData":{"id":5475,"type":"article-journal","abstract":"N-methyl-d-aspartate (NMDA) receptor (NMDAR) hypofunction plays a key role in pathophysiology of schizophrenia. Since NMDAR hypofunction has also been reported in autism, Alzheimer's disease and cognitive dementia, it is crucial to identify the location, timing, and mechanism of NMDAR hypofunction for schizophrenia for better understanding of disease etiology and for novel therapeutic intervention. In this review, we first discuss the shared underlying mechanisms of NMDAR hypofunction in NMDAR antagonist models and the anti-NMDAR autoantibody model of schizophrenia and suggest that NMDAR hypofunction could occur in GABAergic neurons in both models. Preclinical models using transgenic mice have shown that NMDAR hypofunction in cortical GABAergic neurons, in particular parvalbumin-positive fast-spiking interneurons, in the early postnatal period confers schizophrenia-related phenotypes. Recent studies suggest that NMDAR hypofunction can also occur in PV-positive GABAergic neurons with alterations of NMDAR-associated proteins, such as neuregulin/ErbB4, α7nAChR, and serine racemase. Furthermore, several environmental factors, such as oxidative stress, kynurenic acid and hypoxia, may also potentially elicit NMDAR hypofunction in GABAergic neurons in early postnatal period. Altogether, the studies discussed here support a central role for GABAergic abnormalities in the context of NMDAR hypofunction. We conclude by suggesting potential therapeutic strategies to improve the function of fast-spiking neurons.","container-title":"Pharmacology &amp; Therapeutics","DOI":"10.1016/j.pharmthera.2019.107426","ISSN":"1879-016X","journalAbbreviation":"Pharmacol Ther","language":"eng","page":"107426","PMID":"31629007","PMCID":"PMC6981256","source":"PubMed","title":"The origin of NMDA receptor hypofunction in schizophrenia","volume":"205","author":[{"family":"Nakazawa","given":"Kazu"},{"family":"Sapkota","given":"Kiran"}],"issued":{"date-parts":[["2020",1]]}}},{"id":5471,"uris":["http://zotero.org/users/9264269/items/KX7CQ4SG"],"itemData":{"id":5471,"type":"article-journal","abstract":"The experience of coupling between motor output and visual feedback is necessary for the development of visuomotor skills and shapes visuomotor integration in visual cortex. Whether these experience-dependent changes of responses in V1 depend on modifications of the local circuit or are the consequence of circuit changes outside of V1 remains unclear. Here, we probed the role of\n              N\n              -methyl-\n              d\n              -aspartate (NMDA) receptor-dependent signaling, which is known to be involved in neuronal plasticity, in mouse primary visual cortex (V1) during visuomotor development. We used a local knockout of NMDA receptors and a photoactivatable inhibition of CaMKII in V1 during the first visual experience to probe for changes in neuronal activity in V1 as well as the influence on performance in a visuomotor task. We found that a knockout of NMDA receptors before, but not after, first visuomotor experience reduced responses to unpredictable stimuli, diminished the suppression of predictable feedback in V1, and impaired visuomotor skill learning later in life. Our results demonstrate that NMDA receptor-dependent signaling in V1 is critical during the first visuomotor experience for shaping visuomotor integration and enabling visuomotor skill learning.","container-title":"eLife","DOI":"10.7554/eLife.71476","ISSN":"2050-084X","language":"en","page":"e71476","source":"DOI.org (Crossref)","title":"NMDA receptors in visual cortex are necessary for normal visuomotor integration and skill learning","volume":"11","author":[{"family":"Widmer","given":"Felix C"},{"family":"O'Toole","given":"Sean M"},{"family":"Keller","given":"Georg B"}],"issued":{"date-parts":[["2022",2,16]]}}},{"id":5473,"uris":["http://zotero.org/users/9264269/items/T2WUABM9"],"itemData":{"id":5473,"type":"article-journal","abstract":"Visual cognition is finely tuned to the elements in a scene but also relies on contextual integration to improve visual detection and discrimination. This integration is impaired in patients with schizophrenia. Studying impairments in contextual integration may lead to biomarkers of schizophrenia, tools to monitor disease progression, and, in animal models, insight into the underlying neural deficits. We developed a nonhuman primate model to test the hypothesis that hypofunction of the N-methyl d-aspartate receptor (NMDAR) impairs contextual integration. Two male rhesus macaques (Macaca mulatta) were trained to indicate which of two patterns on the screen had the highest contrast. One of these patterns appeared in isolation, and the other was surrounded by a high-contrast pattern. In humans, this high-contrast context is known to lead to an underestimation of contrast. This so-called Chubb illusion is thought to result from surround suppression, a key contextual integration mechanism. To test the involvement of NMDAR in this process, we compared animals' perceptual bias with and without intramuscular injections of a subanesthetic dose of the NMDAR antagonist ketamine. In the absence of ketamine, the animals reported a Chubb illusion - matching reports in healthy humans. Hence, monkeys - just like humans - perform visual contextual integration. This reaffirms the importance of nonhuman primates to help understand visual cognition. Injection of ketamine significantly reduced the strength of the illusion and thus impaired contextual integration. This supports the hypothesis that NMDAR hypofunction plays a causal role in specific behavioral impairments observed in schizophrenia.","container-title":"Journal of Vision","DOI":"10.1167/jov.21.6.9","ISSN":"1534-7362","issue":"6","journalAbbreviation":"J Vis","language":"eng","page":"9","PMID":"34128974","PMCID":"PMC8212430","source":"PubMed","title":"N-methyl d-aspartate receptor hypofunction reduces visual contextual integration","volume":"21","author":[{"family":"Schielke","given":"Alexander"},{"family":"Krekelberg","given":"Bart"}],"issued":{"date-parts":[["2021",6,7]]}}}],"schema":"https://github.com/citation-style-language/schema/raw/master/csl-citation.json"} </w:instrText>
      </w:r>
      <w:r w:rsidR="001F1042">
        <w:fldChar w:fldCharType="separate"/>
      </w:r>
      <w:r w:rsidR="003152EC" w:rsidRPr="003152EC">
        <w:rPr>
          <w:rFonts w:eastAsiaTheme="minorHAnsi"/>
          <w:szCs w:val="24"/>
          <w14:ligatures w14:val="standardContextual"/>
        </w:rPr>
        <w:t>(34–36)</w:t>
      </w:r>
      <w:r w:rsidR="001F1042">
        <w:fldChar w:fldCharType="end"/>
      </w:r>
      <w:r w:rsidR="003152EC">
        <w:t xml:space="preserve">. </w:t>
      </w:r>
      <w:r w:rsidRPr="00501115">
        <w:t xml:space="preserve">Together, these multimodal results confirm that positive symptoms in </w:t>
      </w:r>
      <w:r>
        <w:t>SZ</w:t>
      </w:r>
      <w:r w:rsidRPr="00501115">
        <w:t xml:space="preserve"> do not merely alter what patients learn but disrupt the underlying neural precision of the learning mechanism itself, leading to behavior that is detached from environmen</w:t>
      </w:r>
      <w:r>
        <w:t>t</w:t>
      </w:r>
      <w:r w:rsidRPr="00501115">
        <w:t>.</w:t>
      </w:r>
    </w:p>
    <w:p w14:paraId="33094321" w14:textId="77777777" w:rsidR="00D56E2A" w:rsidRDefault="00D56E2A" w:rsidP="00C830CD"/>
    <w:p w14:paraId="77125842" w14:textId="39789837" w:rsidR="00D56E2A" w:rsidRPr="00501115" w:rsidRDefault="00E1393E" w:rsidP="00561F9D">
      <w:pPr>
        <w:pStyle w:val="Duz1"/>
        <w:rPr>
          <w:rFonts w:ascii="Arial" w:eastAsia="Arial" w:hAnsi="Arial" w:cs="Arial"/>
        </w:rPr>
      </w:pPr>
      <w:r>
        <w:t>Limitations</w:t>
      </w:r>
    </w:p>
    <w:sectPr w:rsidR="00D56E2A" w:rsidRPr="00501115" w:rsidSect="00A20F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7CA"/>
    <w:multiLevelType w:val="multilevel"/>
    <w:tmpl w:val="485E948C"/>
    <w:lvl w:ilvl="0">
      <w:start w:val="1"/>
      <w:numFmt w:val="decimal"/>
      <w:lvlText w:val="%1."/>
      <w:lvlJc w:val="left"/>
      <w:pPr>
        <w:ind w:left="720" w:hanging="360"/>
      </w:pPr>
      <w:rPr>
        <w:rFonts w:hint="default"/>
      </w:rPr>
    </w:lvl>
    <w:lvl w:ilvl="1">
      <w:start w:val="4"/>
      <w:numFmt w:val="decimal"/>
      <w:isLgl/>
      <w:lvlText w:val="%1.%2"/>
      <w:lvlJc w:val="left"/>
      <w:pPr>
        <w:ind w:left="920" w:hanging="5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AED557A"/>
    <w:multiLevelType w:val="hybridMultilevel"/>
    <w:tmpl w:val="3A6C9F8C"/>
    <w:lvl w:ilvl="0" w:tplc="710EC814">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8245096">
    <w:abstractNumId w:val="1"/>
  </w:num>
  <w:num w:numId="2" w16cid:durableId="793332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125B0"/>
    <w:rsid w:val="0003582B"/>
    <w:rsid w:val="000A7586"/>
    <w:rsid w:val="000B0BB1"/>
    <w:rsid w:val="000D2339"/>
    <w:rsid w:val="000D2DF9"/>
    <w:rsid w:val="000D76FE"/>
    <w:rsid w:val="000E2057"/>
    <w:rsid w:val="000E70CB"/>
    <w:rsid w:val="000F2878"/>
    <w:rsid w:val="00121F92"/>
    <w:rsid w:val="001406D6"/>
    <w:rsid w:val="001417A3"/>
    <w:rsid w:val="00155D8D"/>
    <w:rsid w:val="001618A0"/>
    <w:rsid w:val="00161D69"/>
    <w:rsid w:val="00175B9A"/>
    <w:rsid w:val="0018359F"/>
    <w:rsid w:val="001851A5"/>
    <w:rsid w:val="00187A72"/>
    <w:rsid w:val="001B2F5F"/>
    <w:rsid w:val="001C53A0"/>
    <w:rsid w:val="001F1042"/>
    <w:rsid w:val="0021047B"/>
    <w:rsid w:val="00210F61"/>
    <w:rsid w:val="002304DC"/>
    <w:rsid w:val="00231171"/>
    <w:rsid w:val="0023208F"/>
    <w:rsid w:val="00244717"/>
    <w:rsid w:val="0027086F"/>
    <w:rsid w:val="002910F2"/>
    <w:rsid w:val="002A4F30"/>
    <w:rsid w:val="002B1F3F"/>
    <w:rsid w:val="002B7F7D"/>
    <w:rsid w:val="002C51CF"/>
    <w:rsid w:val="002D04F7"/>
    <w:rsid w:val="002E2FCD"/>
    <w:rsid w:val="002F0FE7"/>
    <w:rsid w:val="002F535A"/>
    <w:rsid w:val="00304D53"/>
    <w:rsid w:val="00313F44"/>
    <w:rsid w:val="003152EC"/>
    <w:rsid w:val="00315762"/>
    <w:rsid w:val="00317A12"/>
    <w:rsid w:val="00337F2E"/>
    <w:rsid w:val="00366218"/>
    <w:rsid w:val="00374329"/>
    <w:rsid w:val="00380480"/>
    <w:rsid w:val="00383BE2"/>
    <w:rsid w:val="00384FA8"/>
    <w:rsid w:val="003A74AE"/>
    <w:rsid w:val="003B2ECB"/>
    <w:rsid w:val="003B6DF3"/>
    <w:rsid w:val="003C5391"/>
    <w:rsid w:val="003D6338"/>
    <w:rsid w:val="00432D78"/>
    <w:rsid w:val="00454963"/>
    <w:rsid w:val="00457D16"/>
    <w:rsid w:val="00485103"/>
    <w:rsid w:val="004A5FD0"/>
    <w:rsid w:val="004B54C0"/>
    <w:rsid w:val="004C3257"/>
    <w:rsid w:val="004F56E1"/>
    <w:rsid w:val="005009AC"/>
    <w:rsid w:val="00501115"/>
    <w:rsid w:val="005144F5"/>
    <w:rsid w:val="00561F9D"/>
    <w:rsid w:val="0057150A"/>
    <w:rsid w:val="005776AD"/>
    <w:rsid w:val="005807FF"/>
    <w:rsid w:val="005B43AB"/>
    <w:rsid w:val="005C7A15"/>
    <w:rsid w:val="005D36B4"/>
    <w:rsid w:val="005D6411"/>
    <w:rsid w:val="005E438A"/>
    <w:rsid w:val="006018D8"/>
    <w:rsid w:val="0067409F"/>
    <w:rsid w:val="00696802"/>
    <w:rsid w:val="006C0B5A"/>
    <w:rsid w:val="006C3543"/>
    <w:rsid w:val="006C61E4"/>
    <w:rsid w:val="006D3295"/>
    <w:rsid w:val="006D7D82"/>
    <w:rsid w:val="006F6CCA"/>
    <w:rsid w:val="00714B07"/>
    <w:rsid w:val="00720856"/>
    <w:rsid w:val="00730C85"/>
    <w:rsid w:val="00733E4C"/>
    <w:rsid w:val="00760A98"/>
    <w:rsid w:val="0078084A"/>
    <w:rsid w:val="007C0199"/>
    <w:rsid w:val="00802B34"/>
    <w:rsid w:val="0080549D"/>
    <w:rsid w:val="00806EC3"/>
    <w:rsid w:val="00816068"/>
    <w:rsid w:val="00841B7F"/>
    <w:rsid w:val="008474AB"/>
    <w:rsid w:val="00850ADE"/>
    <w:rsid w:val="008704A5"/>
    <w:rsid w:val="00876D82"/>
    <w:rsid w:val="00883EFD"/>
    <w:rsid w:val="00885E10"/>
    <w:rsid w:val="008C63DE"/>
    <w:rsid w:val="008C770A"/>
    <w:rsid w:val="008D1EBB"/>
    <w:rsid w:val="008D27A3"/>
    <w:rsid w:val="008D68DF"/>
    <w:rsid w:val="009236F1"/>
    <w:rsid w:val="00925C81"/>
    <w:rsid w:val="00925CFC"/>
    <w:rsid w:val="00934AD0"/>
    <w:rsid w:val="00935BC7"/>
    <w:rsid w:val="00944E38"/>
    <w:rsid w:val="0095571D"/>
    <w:rsid w:val="009A4B76"/>
    <w:rsid w:val="009A5CEC"/>
    <w:rsid w:val="009E3961"/>
    <w:rsid w:val="00A05CB6"/>
    <w:rsid w:val="00A107F8"/>
    <w:rsid w:val="00A20F2D"/>
    <w:rsid w:val="00A24B64"/>
    <w:rsid w:val="00A5736C"/>
    <w:rsid w:val="00A74C0F"/>
    <w:rsid w:val="00A818B7"/>
    <w:rsid w:val="00A94C5E"/>
    <w:rsid w:val="00AF3EBC"/>
    <w:rsid w:val="00AF5426"/>
    <w:rsid w:val="00B32E06"/>
    <w:rsid w:val="00B956C5"/>
    <w:rsid w:val="00BA211A"/>
    <w:rsid w:val="00BD638E"/>
    <w:rsid w:val="00BD7AF5"/>
    <w:rsid w:val="00BE273B"/>
    <w:rsid w:val="00BE4DE3"/>
    <w:rsid w:val="00C24CA7"/>
    <w:rsid w:val="00C44AE8"/>
    <w:rsid w:val="00C5110E"/>
    <w:rsid w:val="00C830CD"/>
    <w:rsid w:val="00CB3803"/>
    <w:rsid w:val="00CC7636"/>
    <w:rsid w:val="00CF13DA"/>
    <w:rsid w:val="00D339A4"/>
    <w:rsid w:val="00D41B8C"/>
    <w:rsid w:val="00D50240"/>
    <w:rsid w:val="00D56E2A"/>
    <w:rsid w:val="00D62CAF"/>
    <w:rsid w:val="00D8199B"/>
    <w:rsid w:val="00D90A9C"/>
    <w:rsid w:val="00D93D2F"/>
    <w:rsid w:val="00DC013A"/>
    <w:rsid w:val="00DC4D8A"/>
    <w:rsid w:val="00DE5198"/>
    <w:rsid w:val="00DE54DE"/>
    <w:rsid w:val="00DF5746"/>
    <w:rsid w:val="00E03EF7"/>
    <w:rsid w:val="00E1393E"/>
    <w:rsid w:val="00E16B9D"/>
    <w:rsid w:val="00E27AD8"/>
    <w:rsid w:val="00E4545F"/>
    <w:rsid w:val="00E46B70"/>
    <w:rsid w:val="00E518CB"/>
    <w:rsid w:val="00E51E06"/>
    <w:rsid w:val="00E8417B"/>
    <w:rsid w:val="00E855D8"/>
    <w:rsid w:val="00E862DB"/>
    <w:rsid w:val="00EC309A"/>
    <w:rsid w:val="00ED72E8"/>
    <w:rsid w:val="00F33DA7"/>
    <w:rsid w:val="00F867C2"/>
    <w:rsid w:val="00F97C5C"/>
    <w:rsid w:val="00FA4832"/>
    <w:rsid w:val="00FF41E9"/>
    <w:rsid w:val="00FF5E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14:ligatures w14:val="standardContextual"/>
    </w:rPr>
  </w:style>
  <w:style w:type="paragraph" w:styleId="Heading2">
    <w:name w:val="heading 2"/>
    <w:basedOn w:val="Normal"/>
    <w:next w:val="Normal"/>
    <w:link w:val="Heading2Char"/>
    <w:uiPriority w:val="9"/>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 w:type="paragraph" w:customStyle="1" w:styleId="Duz2">
    <w:name w:val="Duz_2"/>
    <w:basedOn w:val="Heading2"/>
    <w:qFormat/>
    <w:rsid w:val="00BD638E"/>
    <w:rPr>
      <w:rFonts w:ascii="Helvetica Neue" w:hAnsi="Helvetica Neue"/>
      <w:b/>
      <w:color w:val="000000" w:themeColor="text1"/>
    </w:rPr>
  </w:style>
  <w:style w:type="paragraph" w:customStyle="1" w:styleId="Duz3">
    <w:name w:val="Duz_3"/>
    <w:basedOn w:val="Heading3"/>
    <w:link w:val="Duz3Char"/>
    <w:qFormat/>
    <w:rsid w:val="00BD638E"/>
    <w:rPr>
      <w:rFonts w:ascii="Helvetica Neue" w:eastAsia="Calibri" w:hAnsi="Helvetica Neue"/>
      <w:b/>
      <w:bCs/>
      <w:color w:val="000000" w:themeColor="text1"/>
    </w:rPr>
  </w:style>
  <w:style w:type="character" w:customStyle="1" w:styleId="Duz3Char">
    <w:name w:val="Duz_3 Char"/>
    <w:basedOn w:val="Heading3Char"/>
    <w:link w:val="Duz3"/>
    <w:rsid w:val="00BD638E"/>
    <w:rPr>
      <w:rFonts w:ascii="Helvetica Neue" w:eastAsia="Calibri" w:hAnsi="Helvetica Neue" w:cstheme="majorBidi"/>
      <w:b/>
      <w:bCs/>
      <w:color w:val="000000" w:themeColor="text1"/>
      <w:sz w:val="28"/>
      <w:szCs w:val="28"/>
    </w:rPr>
  </w:style>
  <w:style w:type="paragraph" w:customStyle="1" w:styleId="Duz4">
    <w:name w:val="Duz_4"/>
    <w:basedOn w:val="Heading4"/>
    <w:qFormat/>
    <w:rsid w:val="005D36B4"/>
    <w:rPr>
      <w:rFonts w:ascii="Helvetica Neue" w:eastAsia="Calibri" w:hAnsi="Helvetica Neue"/>
      <w:b/>
      <w:bCs/>
      <w:color w:val="000000" w:themeColor="text1"/>
    </w:rPr>
  </w:style>
  <w:style w:type="paragraph" w:customStyle="1" w:styleId="Duz1">
    <w:name w:val="Duz_1"/>
    <w:basedOn w:val="Heading1"/>
    <w:qFormat/>
    <w:rsid w:val="001618A0"/>
    <w:rPr>
      <w:rFonts w:ascii="Helvetica Neue" w:hAnsi="Helvetica Neue"/>
      <w:b/>
      <w:bCs/>
      <w:color w:val="000000" w:themeColor="text1"/>
      <w:szCs w:val="28"/>
    </w:rPr>
  </w:style>
  <w:style w:type="character" w:styleId="CommentReference">
    <w:name w:val="annotation reference"/>
    <w:basedOn w:val="DefaultParagraphFont"/>
    <w:uiPriority w:val="99"/>
    <w:semiHidden/>
    <w:unhideWhenUsed/>
    <w:rsid w:val="006C3543"/>
    <w:rPr>
      <w:sz w:val="16"/>
      <w:szCs w:val="16"/>
    </w:rPr>
  </w:style>
  <w:style w:type="paragraph" w:styleId="CommentText">
    <w:name w:val="annotation text"/>
    <w:basedOn w:val="Normal"/>
    <w:link w:val="CommentTextChar"/>
    <w:uiPriority w:val="99"/>
    <w:semiHidden/>
    <w:unhideWhenUsed/>
    <w:rsid w:val="006C3543"/>
    <w:pPr>
      <w:spacing w:line="240" w:lineRule="auto"/>
    </w:pPr>
    <w:rPr>
      <w:sz w:val="20"/>
      <w:szCs w:val="20"/>
    </w:rPr>
  </w:style>
  <w:style w:type="character" w:customStyle="1" w:styleId="CommentTextChar">
    <w:name w:val="Comment Text Char"/>
    <w:basedOn w:val="DefaultParagraphFont"/>
    <w:link w:val="CommentText"/>
    <w:uiPriority w:val="99"/>
    <w:semiHidden/>
    <w:rsid w:val="006C3543"/>
    <w:rPr>
      <w:rFonts w:ascii="Arial" w:eastAsia="Arial" w:hAnsi="Arial" w:cs="Arial"/>
      <w:sz w:val="20"/>
      <w:szCs w:val="20"/>
      <w14:ligatures w14:val="none"/>
    </w:rPr>
  </w:style>
  <w:style w:type="paragraph" w:styleId="CommentSubject">
    <w:name w:val="annotation subject"/>
    <w:basedOn w:val="CommentText"/>
    <w:next w:val="CommentText"/>
    <w:link w:val="CommentSubjectChar"/>
    <w:uiPriority w:val="99"/>
    <w:semiHidden/>
    <w:unhideWhenUsed/>
    <w:rsid w:val="006C3543"/>
    <w:rPr>
      <w:b/>
      <w:bCs/>
    </w:rPr>
  </w:style>
  <w:style w:type="character" w:customStyle="1" w:styleId="CommentSubjectChar">
    <w:name w:val="Comment Subject Char"/>
    <w:basedOn w:val="CommentTextChar"/>
    <w:link w:val="CommentSubject"/>
    <w:uiPriority w:val="99"/>
    <w:semiHidden/>
    <w:rsid w:val="006C3543"/>
    <w:rPr>
      <w:rFonts w:ascii="Arial" w:eastAsia="Arial" w:hAnsi="Arial" w:cs="Arial"/>
      <w:b/>
      <w:bCs/>
      <w:sz w:val="20"/>
      <w:szCs w:val="20"/>
      <w14:ligatures w14:val="none"/>
    </w:rPr>
  </w:style>
  <w:style w:type="character" w:customStyle="1" w:styleId="math-inline">
    <w:name w:val="math-inline"/>
    <w:basedOn w:val="DefaultParagraphFont"/>
    <w:rsid w:val="00FF41E9"/>
  </w:style>
  <w:style w:type="character" w:customStyle="1" w:styleId="BodyTextChar">
    <w:name w:val="Body Text Char"/>
    <w:basedOn w:val="DefaultParagraphFont"/>
    <w:link w:val="BodyText"/>
    <w:qFormat/>
    <w:rsid w:val="00244717"/>
    <w:rPr>
      <w:rFonts w:ascii="Calibri" w:eastAsia="Calibri" w:hAnsi="Calibri" w:cs="Calibri"/>
      <w:lang w:eastAsia="tr-TR"/>
    </w:rPr>
  </w:style>
  <w:style w:type="paragraph" w:styleId="BodyText">
    <w:name w:val="Body Text"/>
    <w:basedOn w:val="Normal"/>
    <w:link w:val="BodyTextChar"/>
    <w:qFormat/>
    <w:rsid w:val="00244717"/>
    <w:pPr>
      <w:suppressAutoHyphens/>
      <w:spacing w:before="180" w:after="180" w:line="240" w:lineRule="auto"/>
    </w:pPr>
    <w:rPr>
      <w:rFonts w:ascii="Calibri" w:eastAsia="Calibri" w:hAnsi="Calibri" w:cs="Calibri"/>
      <w:sz w:val="24"/>
      <w:szCs w:val="24"/>
      <w:lang w:eastAsia="tr-TR"/>
      <w14:ligatures w14:val="standardContextual"/>
    </w:rPr>
  </w:style>
  <w:style w:type="character" w:customStyle="1" w:styleId="BodyTextChar1">
    <w:name w:val="Body Text Char1"/>
    <w:basedOn w:val="DefaultParagraphFont"/>
    <w:uiPriority w:val="99"/>
    <w:semiHidden/>
    <w:rsid w:val="00244717"/>
    <w:rPr>
      <w:rFonts w:ascii="Arial" w:eastAsia="Arial" w:hAnsi="Arial" w:cs="Arial"/>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04526A-3565-CC4D-BBC3-A27DD44FB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10</Pages>
  <Words>15809</Words>
  <Characters>90112</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111</cp:revision>
  <dcterms:created xsi:type="dcterms:W3CDTF">2026-03-08T13:03:00Z</dcterms:created>
  <dcterms:modified xsi:type="dcterms:W3CDTF">2026-04-11T21:43:00Z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id="nN3ZLqP7"/&gt;&lt;style id="http://www.zotero.org/styles/biological-psychiatry" hasBibliography="1" bibliographyStyleHasBeenSet="0"/&gt;&lt;prefs&gt;&lt;pref name="fieldType" value="Field"/&gt;&lt;/prefs&gt;&lt;/data&gt;</vt:lpwstr>
  </property>
  <property fmtid="{D5CDD505-2E9C-101B-9397-08002B2CF9AE}" pid="3" name="ZOTERO_PREF_2">
    <vt:lpwstr/>
  </property>
</Properties>
</file>