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CDFB" w14:textId="2ADEB219" w:rsidR="00A74C0F" w:rsidRDefault="00D00F39" w:rsidP="00D00F39">
      <w:pPr>
        <w:pStyle w:val="Heading1"/>
      </w:pPr>
      <w:r>
        <w:t xml:space="preserve">Reviewer </w:t>
      </w:r>
      <w:r w:rsidR="00647149">
        <w:t>2</w:t>
      </w:r>
    </w:p>
    <w:p w14:paraId="3D27B023" w14:textId="78CD5E2B" w:rsidR="00D00F39" w:rsidRPr="00567329" w:rsidRDefault="003C38A3" w:rsidP="00567329">
      <w:pPr>
        <w:spacing w:line="360" w:lineRule="auto"/>
        <w:rPr>
          <w:rFonts w:ascii="Arial" w:hAnsi="Arial" w:cs="Arial"/>
          <w:i/>
          <w:iCs/>
        </w:rPr>
      </w:pPr>
      <w:r w:rsidRPr="00567329">
        <w:rPr>
          <w:rFonts w:ascii="Arial" w:hAnsi="Arial" w:cs="Arial"/>
          <w:b/>
          <w:bCs/>
        </w:rPr>
        <w:t>Comment</w:t>
      </w:r>
      <w:r w:rsidR="004B1C2F">
        <w:rPr>
          <w:rFonts w:ascii="Arial" w:hAnsi="Arial" w:cs="Arial"/>
          <w:b/>
          <w:bCs/>
        </w:rPr>
        <w:t xml:space="preserve"> 1</w:t>
      </w:r>
      <w:r w:rsidRPr="00567329">
        <w:rPr>
          <w:rFonts w:ascii="Arial" w:hAnsi="Arial" w:cs="Arial"/>
          <w:b/>
          <w:bCs/>
        </w:rPr>
        <w:t xml:space="preserve">: </w:t>
      </w:r>
      <w:r w:rsidRPr="00567329">
        <w:rPr>
          <w:rFonts w:ascii="Arial" w:hAnsi="Arial" w:cs="Arial"/>
        </w:rPr>
        <w:t>“</w:t>
      </w:r>
      <w:r w:rsidRPr="00567329">
        <w:rPr>
          <w:rFonts w:ascii="Arial" w:hAnsi="Arial" w:cs="Arial"/>
          <w:i/>
          <w:iCs/>
        </w:rPr>
        <w:t>My main comments are about the simulations. In the schizophrenia simulation, the authors remove the higher order temporal derivatives from the prior dynamics. This leads to greater PE and shorter INT in unimodal regions and lower PE and longer INT in transmodal regions, which is interesting. But the authors find *both* increased and decreased ITPC (at very specific frequencies) in transmodal regions in the Sz simulation and no change in ITPC in unimodal regions. This is not "consistent with the findings of decreased ITPC in Sz..." - the model doesn't reproduce that finding well at all. This should please be clarified.”</w:t>
      </w:r>
    </w:p>
    <w:p w14:paraId="424DE301" w14:textId="5E00220A" w:rsidR="00D01A5E" w:rsidRPr="00D01A5E" w:rsidRDefault="00BA29B5" w:rsidP="00D01A5E">
      <w:pPr>
        <w:spacing w:line="360" w:lineRule="auto"/>
        <w:rPr>
          <w:rFonts w:ascii="Arial" w:hAnsi="Arial" w:cs="Arial"/>
        </w:rPr>
      </w:pPr>
      <w:r w:rsidRPr="0061533F">
        <w:rPr>
          <w:rFonts w:ascii="Arial" w:hAnsi="Arial" w:cs="Arial"/>
          <w:b/>
          <w:bCs/>
        </w:rPr>
        <w:t>Response</w:t>
      </w:r>
      <w:r w:rsidR="004B1C2F">
        <w:rPr>
          <w:rFonts w:ascii="Arial" w:hAnsi="Arial" w:cs="Arial"/>
          <w:b/>
          <w:bCs/>
        </w:rPr>
        <w:t xml:space="preserve"> 1</w:t>
      </w:r>
      <w:r>
        <w:rPr>
          <w:rFonts w:ascii="Arial" w:hAnsi="Arial" w:cs="Arial"/>
        </w:rPr>
        <w:t xml:space="preserve">: </w:t>
      </w:r>
      <w:r w:rsidR="00D01A5E" w:rsidRPr="00D01A5E">
        <w:rPr>
          <w:rFonts w:ascii="Arial" w:hAnsi="Arial" w:cs="Arial"/>
        </w:rPr>
        <w:t xml:space="preserve">We thank the reviewer for their careful attention to our phase dynamics analysis. We made the deliberate methodological decision to utilize the continuous Input-Output Phase-Locking Value (PLV) rather than discrete Inter-Trial Phase Coherence (ITPC) because </w:t>
      </w:r>
      <w:r w:rsidR="008C780F" w:rsidRPr="008C780F">
        <w:rPr>
          <w:rFonts w:ascii="Arial" w:hAnsi="Arial" w:cs="Arial"/>
        </w:rPr>
        <w:t>PLV preserves the necessary temporal continuity required to analyze the continuous-time dynamics of the Dynamic Expectation Maximization (DEM) framework.</w:t>
      </w:r>
    </w:p>
    <w:p w14:paraId="469AB972" w14:textId="52E78CD3" w:rsidR="00D01A5E" w:rsidRPr="00D01A5E" w:rsidRDefault="00D01A5E" w:rsidP="00D01A5E">
      <w:pPr>
        <w:spacing w:line="360" w:lineRule="auto"/>
        <w:rPr>
          <w:rFonts w:ascii="Arial" w:hAnsi="Arial" w:cs="Arial"/>
        </w:rPr>
      </w:pPr>
      <w:r w:rsidRPr="00D01A5E">
        <w:rPr>
          <w:rFonts w:ascii="Arial" w:hAnsi="Arial" w:cs="Arial"/>
        </w:rPr>
        <w:t>The DEM algorithm operates fundamentally in continuous time, utilizing generalized coordinates of motion (derivatives) to track continuous sensory trajectories. ITPC, by definition, requires the artificial segmentation of data into discrete, independent epochs or 'trials.' Forcing a discrete trial-based structure onto a continuous, differentiable dynamical system artificially breaks the temporal continuity that the generative model relies upon.</w:t>
      </w:r>
    </w:p>
    <w:p w14:paraId="16BBAF73" w14:textId="565DD5E6" w:rsidR="00D00F39" w:rsidRDefault="00D01A5E" w:rsidP="00D01A5E">
      <w:pPr>
        <w:spacing w:line="360" w:lineRule="auto"/>
        <w:rPr>
          <w:rFonts w:ascii="Arial" w:hAnsi="Arial" w:cs="Arial"/>
        </w:rPr>
      </w:pPr>
      <w:r w:rsidRPr="00D01A5E">
        <w:rPr>
          <w:rFonts w:ascii="Arial" w:hAnsi="Arial" w:cs="Arial"/>
        </w:rPr>
        <w:t xml:space="preserve">Furthermore, the specific computational lesion we apply in our schizophrenia model—the </w:t>
      </w:r>
      <w:r w:rsidR="00433777">
        <w:rPr>
          <w:rFonts w:ascii="Arial" w:hAnsi="Arial" w:cs="Arial"/>
        </w:rPr>
        <w:t>elimination</w:t>
      </w:r>
      <w:r w:rsidRPr="00D01A5E">
        <w:rPr>
          <w:rFonts w:ascii="Arial" w:hAnsi="Arial" w:cs="Arial"/>
        </w:rPr>
        <w:t xml:space="preserve"> of higher-order temporal derivatives—results in an inability to track the continuous flow of the environment. This pathology manifests as decoupling between the external rhythm and the internal generative model. Continuous Input-Output PLV explicitly quantifies this real-time entrainment fidelity, whereas discrete ITPC would obscure this dynamic tracking failure by merely averaging variance across artificially segmented onset points. Therefore, continuous PLV provides the mathematically </w:t>
      </w:r>
      <w:r w:rsidRPr="00D01A5E">
        <w:rPr>
          <w:rFonts w:ascii="Arial" w:hAnsi="Arial" w:cs="Arial"/>
        </w:rPr>
        <w:lastRenderedPageBreak/>
        <w:t>readout of the temporal phase dyssynchrony generated by our continuous DEM simulations</w:t>
      </w:r>
      <w:r w:rsidR="0061533F">
        <w:rPr>
          <w:rFonts w:ascii="Arial" w:hAnsi="Arial" w:cs="Arial"/>
        </w:rPr>
        <w:t>.</w:t>
      </w:r>
    </w:p>
    <w:p w14:paraId="06D82237" w14:textId="44C222E3" w:rsidR="004B1C2F" w:rsidRPr="00887778" w:rsidRDefault="008278E6" w:rsidP="00D01A5E">
      <w:pPr>
        <w:spacing w:line="360" w:lineRule="auto"/>
        <w:rPr>
          <w:rFonts w:ascii="Arial" w:hAnsi="Arial" w:cs="Arial"/>
        </w:rPr>
      </w:pPr>
      <w:r>
        <w:rPr>
          <w:rFonts w:ascii="Arial" w:hAnsi="Arial" w:cs="Arial"/>
        </w:rPr>
        <w:t>Thatswhy, we made the respective changes in Methods and Results sections</w:t>
      </w:r>
      <w:r w:rsidR="008C780F">
        <w:rPr>
          <w:rFonts w:ascii="Arial" w:hAnsi="Arial" w:cs="Arial"/>
        </w:rPr>
        <w:t xml:space="preserve">. </w:t>
      </w:r>
    </w:p>
    <w:p w14:paraId="0291493E" w14:textId="4096C444" w:rsidR="004B1C2F" w:rsidRDefault="004B1C2F" w:rsidP="00D01A5E">
      <w:pPr>
        <w:spacing w:line="360" w:lineRule="auto"/>
        <w:rPr>
          <w:rFonts w:ascii="Arial" w:hAnsi="Arial" w:cs="Arial"/>
          <w:i/>
          <w:iCs/>
        </w:rPr>
      </w:pPr>
      <w:r w:rsidRPr="004D7ACC">
        <w:rPr>
          <w:rFonts w:ascii="Arial" w:hAnsi="Arial" w:cs="Arial"/>
          <w:b/>
          <w:bCs/>
        </w:rPr>
        <w:t>Comment 2:</w:t>
      </w:r>
      <w:r>
        <w:t xml:space="preserve"> </w:t>
      </w:r>
      <w:r w:rsidRPr="004B1C2F">
        <w:rPr>
          <w:rFonts w:ascii="Arial" w:hAnsi="Arial" w:cs="Arial"/>
          <w:i/>
          <w:iCs/>
        </w:rPr>
        <w:t xml:space="preserve">“Second, it is great that the authors added a 'sensory noise' condition to their simulation to contrast with the temporal imprecision condition. Can they also please add a 'prior noise' condition? I just gave 'sensory noise' as an example - it is important to have the two most obvious alternative </w:t>
      </w:r>
      <w:r w:rsidR="00A04BAE" w:rsidRPr="004B1C2F">
        <w:rPr>
          <w:rFonts w:ascii="Arial" w:hAnsi="Arial" w:cs="Arial"/>
          <w:i/>
          <w:iCs/>
        </w:rPr>
        <w:t>hypotheses</w:t>
      </w:r>
      <w:r w:rsidRPr="004B1C2F">
        <w:rPr>
          <w:rFonts w:ascii="Arial" w:hAnsi="Arial" w:cs="Arial"/>
          <w:i/>
          <w:iCs/>
        </w:rPr>
        <w:t xml:space="preserve"> tested so that clear distinctions between them can be drawn (and then hopefully tested). This would be an important contribution of the paper.”</w:t>
      </w:r>
    </w:p>
    <w:p w14:paraId="3D85E7E6" w14:textId="14837138" w:rsidR="008E38AE" w:rsidRDefault="004D7ACC" w:rsidP="00D01A5E">
      <w:pPr>
        <w:spacing w:line="360" w:lineRule="auto"/>
        <w:rPr>
          <w:rFonts w:ascii="Arial" w:hAnsi="Arial" w:cs="Arial"/>
        </w:rPr>
      </w:pPr>
      <w:r w:rsidRPr="004D7ACC">
        <w:rPr>
          <w:rFonts w:ascii="Arial" w:hAnsi="Arial" w:cs="Arial"/>
          <w:b/>
          <w:bCs/>
        </w:rPr>
        <w:t>Response 2:</w:t>
      </w:r>
      <w:r w:rsidR="009F703B">
        <w:rPr>
          <w:rFonts w:ascii="Arial" w:hAnsi="Arial" w:cs="Arial"/>
          <w:b/>
          <w:bCs/>
        </w:rPr>
        <w:t xml:space="preserve"> </w:t>
      </w:r>
      <w:r w:rsidR="00D2002E">
        <w:rPr>
          <w:rFonts w:ascii="Arial" w:hAnsi="Arial" w:cs="Arial"/>
        </w:rPr>
        <w:t xml:space="preserve">As alternative models, we added </w:t>
      </w:r>
      <w:r w:rsidR="00DD73C2">
        <w:rPr>
          <w:rFonts w:ascii="Arial" w:hAnsi="Arial" w:cs="Arial"/>
        </w:rPr>
        <w:t>‘</w:t>
      </w:r>
      <w:r w:rsidR="00D2002E">
        <w:rPr>
          <w:rFonts w:ascii="Arial" w:hAnsi="Arial" w:cs="Arial"/>
        </w:rPr>
        <w:t>only prior noise</w:t>
      </w:r>
      <w:r w:rsidR="00DD73C2">
        <w:rPr>
          <w:rFonts w:ascii="Arial" w:hAnsi="Arial" w:cs="Arial"/>
        </w:rPr>
        <w:t>’</w:t>
      </w:r>
      <w:r w:rsidR="00D2002E">
        <w:rPr>
          <w:rFonts w:ascii="Arial" w:hAnsi="Arial" w:cs="Arial"/>
        </w:rPr>
        <w:t xml:space="preserve"> </w:t>
      </w:r>
      <w:r w:rsidR="004A15F2">
        <w:rPr>
          <w:rFonts w:ascii="Arial" w:hAnsi="Arial" w:cs="Arial"/>
        </w:rPr>
        <w:t xml:space="preserve">as an alternative condition to the sensory noise. </w:t>
      </w:r>
      <w:r w:rsidR="00DD73C2">
        <w:rPr>
          <w:rFonts w:ascii="Arial" w:hAnsi="Arial" w:cs="Arial"/>
        </w:rPr>
        <w:t xml:space="preserve">Here as we will denote also in Response </w:t>
      </w:r>
      <w:r w:rsidR="00154D21">
        <w:rPr>
          <w:rFonts w:ascii="Arial" w:hAnsi="Arial" w:cs="Arial"/>
        </w:rPr>
        <w:t xml:space="preserve">3, we allowed precisions to alter according to minimization of Variational Free Energy, rather than hardcoding any precision in the main models for both schizophrenia and depression models. </w:t>
      </w:r>
      <w:r w:rsidR="00A04BAE">
        <w:rPr>
          <w:rFonts w:ascii="Arial" w:hAnsi="Arial" w:cs="Arial"/>
        </w:rPr>
        <w:t xml:space="preserve">In the </w:t>
      </w:r>
      <w:r w:rsidR="00DB1B4C">
        <w:rPr>
          <w:rFonts w:ascii="Arial" w:hAnsi="Arial" w:cs="Arial"/>
        </w:rPr>
        <w:t>prior noise model, we only changed the internal prior precisions.</w:t>
      </w:r>
      <w:r w:rsidR="008E38AE">
        <w:rPr>
          <w:rFonts w:ascii="Arial" w:hAnsi="Arial" w:cs="Arial"/>
        </w:rPr>
        <w:t xml:space="preserve"> Here is the added method in the Supplementary Material </w:t>
      </w:r>
      <w:r w:rsidR="00092049">
        <w:rPr>
          <w:rFonts w:ascii="Arial" w:hAnsi="Arial" w:cs="Arial"/>
        </w:rPr>
        <w:t>–</w:t>
      </w:r>
      <w:r w:rsidR="008E38AE">
        <w:rPr>
          <w:rFonts w:ascii="Arial" w:hAnsi="Arial" w:cs="Arial"/>
        </w:rPr>
        <w:t xml:space="preserve"> </w:t>
      </w:r>
      <w:r w:rsidR="00092049">
        <w:rPr>
          <w:rFonts w:ascii="Arial" w:hAnsi="Arial" w:cs="Arial"/>
        </w:rPr>
        <w:t>Prior Noise Simulation:</w:t>
      </w:r>
    </w:p>
    <w:p w14:paraId="5C17C0C5" w14:textId="0CA0EBD1" w:rsidR="004D7ACC" w:rsidRPr="00DF4696" w:rsidRDefault="00092049" w:rsidP="00092049">
      <w:pPr>
        <w:pStyle w:val="ListParagraph"/>
        <w:numPr>
          <w:ilvl w:val="0"/>
          <w:numId w:val="1"/>
        </w:numPr>
        <w:spacing w:line="360" w:lineRule="auto"/>
        <w:rPr>
          <w:color w:val="002060"/>
        </w:rPr>
      </w:pPr>
      <w:r w:rsidRPr="00DF4696">
        <w:rPr>
          <w:rFonts w:ascii="Arial" w:hAnsi="Arial" w:cs="Arial"/>
          <w:color w:val="002060"/>
          <w:sz w:val="20"/>
          <w:szCs w:val="20"/>
        </w:rPr>
        <w:t>“</w:t>
      </w:r>
      <w:r w:rsidR="008E38AE" w:rsidRPr="00DF4696">
        <w:rPr>
          <w:rFonts w:ascii="Arial" w:hAnsi="Arial" w:cs="Arial"/>
          <w:color w:val="002060"/>
          <w:sz w:val="20"/>
          <w:szCs w:val="20"/>
        </w:rPr>
        <w:t>To test whether simply increasing prior noise (state uncertainty) could reproduce our effects, we implemented a control simulation in the DEM framework that altered only the prior precisions while keeping the generative dynamics intact. Specifically, the ground truth model was generated with default precisions, and the prior-noise model was identical except that both the unimodal and transmodal prior (state) precisions were reduced from baseline to (</w:t>
      </w:r>
      <m:oMath>
        <m:sSub>
          <m:sSubPr>
            <m:ctrlPr>
              <w:rPr>
                <w:rFonts w:ascii="Cambria Math" w:hAnsi="Cambria Math" w:cs="Arial"/>
                <w:i/>
                <w:color w:val="002060"/>
                <w:sz w:val="20"/>
                <w:szCs w:val="20"/>
              </w:rPr>
            </m:ctrlPr>
          </m:sSubPr>
          <m:e>
            <m:r>
              <w:rPr>
                <w:rFonts w:ascii="Cambria Math" w:hAnsi="Cambria Math" w:cs="Arial"/>
                <w:color w:val="002060"/>
                <w:sz w:val="20"/>
                <w:szCs w:val="20"/>
              </w:rPr>
              <m:t>W</m:t>
            </m:r>
          </m:e>
          <m:sub>
            <m:r>
              <w:rPr>
                <w:rFonts w:ascii="Cambria Math" w:hAnsi="Cambria Math" w:cs="Arial"/>
                <w:color w:val="002060"/>
                <w:sz w:val="20"/>
                <w:szCs w:val="20"/>
              </w:rPr>
              <m:t>1</m:t>
            </m:r>
          </m:sub>
        </m:sSub>
        <m:r>
          <w:rPr>
            <w:rFonts w:ascii="Cambria Math" w:hAnsi="Cambria Math" w:cs="Arial"/>
            <w:color w:val="002060"/>
            <w:sz w:val="20"/>
            <w:szCs w:val="20"/>
          </w:rPr>
          <m:t xml:space="preserve">=exp(0), </m:t>
        </m:r>
        <m:sSub>
          <m:sSubPr>
            <m:ctrlPr>
              <w:rPr>
                <w:rFonts w:ascii="Cambria Math" w:hAnsi="Cambria Math" w:cs="Arial"/>
                <w:i/>
                <w:color w:val="002060"/>
                <w:sz w:val="20"/>
                <w:szCs w:val="20"/>
              </w:rPr>
            </m:ctrlPr>
          </m:sSubPr>
          <m:e>
            <m:r>
              <w:rPr>
                <w:rFonts w:ascii="Cambria Math" w:hAnsi="Cambria Math" w:cs="Arial"/>
                <w:color w:val="002060"/>
                <w:sz w:val="20"/>
                <w:szCs w:val="20"/>
              </w:rPr>
              <m:t>W</m:t>
            </m:r>
          </m:e>
          <m:sub>
            <m:r>
              <w:rPr>
                <w:rFonts w:ascii="Cambria Math" w:hAnsi="Cambria Math" w:cs="Arial"/>
                <w:color w:val="002060"/>
                <w:sz w:val="20"/>
                <w:szCs w:val="20"/>
              </w:rPr>
              <m:t>2</m:t>
            </m:r>
          </m:sub>
        </m:sSub>
        <m:r>
          <w:rPr>
            <w:rFonts w:ascii="Cambria Math" w:hAnsi="Cambria Math" w:cs="Arial"/>
            <w:color w:val="002060"/>
            <w:sz w:val="20"/>
            <w:szCs w:val="20"/>
          </w:rPr>
          <m:t>=exp(0)</m:t>
        </m:r>
      </m:oMath>
      <w:r w:rsidR="008E38AE" w:rsidRPr="00DF4696">
        <w:rPr>
          <w:rFonts w:ascii="Arial" w:hAnsi="Arial" w:cs="Arial"/>
          <w:color w:val="002060"/>
          <w:sz w:val="20"/>
          <w:szCs w:val="20"/>
        </w:rPr>
        <w:t>) (i.e., highly noisy internal priors), with observation precisions held at baseline (</w:t>
      </w:r>
      <m:oMath>
        <m:r>
          <w:rPr>
            <w:rFonts w:ascii="Cambria Math" w:hAnsi="Cambria Math" w:cs="Arial"/>
            <w:color w:val="002060"/>
            <w:sz w:val="20"/>
            <w:szCs w:val="20"/>
          </w:rPr>
          <m:t>V1=exp(1), V2=exp(8)</m:t>
        </m:r>
      </m:oMath>
      <w:r w:rsidR="008E38AE" w:rsidRPr="00DF4696">
        <w:rPr>
          <w:rFonts w:ascii="Arial" w:hAnsi="Arial" w:cs="Arial"/>
          <w:color w:val="002060"/>
          <w:sz w:val="20"/>
          <w:szCs w:val="20"/>
        </w:rPr>
        <w:t>). To isolate the effect of this prior noise, both models were inverted on the same observed data generated by the healthy model. Across 100 runs (dt = 1/64), we estimated intrinsic neural timescales using ACW-50 and quantified prediction error (PE) energy as the mean squared PE over time, separately for unimodal and transmodal signals.</w:t>
      </w:r>
      <w:r w:rsidRPr="00DF4696">
        <w:rPr>
          <w:rFonts w:ascii="Arial" w:hAnsi="Arial" w:cs="Arial"/>
          <w:color w:val="002060"/>
          <w:sz w:val="20"/>
          <w:szCs w:val="20"/>
        </w:rPr>
        <w:t>”</w:t>
      </w:r>
    </w:p>
    <w:p w14:paraId="747EFCBF" w14:textId="77777777" w:rsidR="00C040D1" w:rsidRDefault="00C040D1" w:rsidP="00C040D1">
      <w:pPr>
        <w:pStyle w:val="ListParagraph"/>
        <w:spacing w:line="360" w:lineRule="auto"/>
        <w:rPr>
          <w:rFonts w:ascii="Arial" w:hAnsi="Arial" w:cs="Arial"/>
          <w:sz w:val="20"/>
          <w:szCs w:val="20"/>
        </w:rPr>
      </w:pPr>
    </w:p>
    <w:p w14:paraId="75FA979D" w14:textId="65054367" w:rsidR="00C040D1" w:rsidRPr="00CA478A" w:rsidRDefault="00C040D1" w:rsidP="00CA478A">
      <w:pPr>
        <w:spacing w:line="360" w:lineRule="auto"/>
        <w:rPr>
          <w:rFonts w:ascii="Arial" w:hAnsi="Arial" w:cs="Arial"/>
        </w:rPr>
      </w:pPr>
      <w:r w:rsidRPr="00CA478A">
        <w:rPr>
          <w:rFonts w:ascii="Arial" w:hAnsi="Arial" w:cs="Arial"/>
        </w:rPr>
        <w:t xml:space="preserve">Analysis </w:t>
      </w:r>
      <w:r w:rsidR="00CA478A" w:rsidRPr="00CA478A">
        <w:rPr>
          <w:rFonts w:ascii="Arial" w:hAnsi="Arial" w:cs="Arial"/>
        </w:rPr>
        <w:t>showed</w:t>
      </w:r>
      <w:r w:rsidRPr="00CA478A">
        <w:rPr>
          <w:rFonts w:ascii="Arial" w:hAnsi="Arial" w:cs="Arial"/>
        </w:rPr>
        <w:t xml:space="preserve"> that </w:t>
      </w:r>
      <w:r w:rsidR="005974D7" w:rsidRPr="00CA478A">
        <w:rPr>
          <w:rFonts w:ascii="Arial" w:hAnsi="Arial" w:cs="Arial"/>
        </w:rPr>
        <w:t>both transmodal and unimodal PE is decreased while ACW-50 are shortened.</w:t>
      </w:r>
    </w:p>
    <w:p w14:paraId="3B158F87" w14:textId="77777777" w:rsidR="00357060" w:rsidRPr="00357060" w:rsidRDefault="00DD4A18" w:rsidP="00357060">
      <w:pPr>
        <w:pStyle w:val="p1"/>
        <w:numPr>
          <w:ilvl w:val="0"/>
          <w:numId w:val="1"/>
        </w:numPr>
        <w:spacing w:line="480" w:lineRule="auto"/>
        <w:jc w:val="both"/>
        <w:rPr>
          <w:rFonts w:ascii="Arial" w:hAnsi="Arial" w:cs="Arial"/>
          <w:color w:val="002060"/>
          <w:sz w:val="20"/>
          <w:szCs w:val="20"/>
        </w:rPr>
      </w:pPr>
      <w:r w:rsidRPr="00746902">
        <w:rPr>
          <w:rFonts w:ascii="Arial" w:hAnsi="Arial" w:cs="Arial"/>
          <w:color w:val="002060"/>
          <w:sz w:val="20"/>
          <w:szCs w:val="20"/>
        </w:rPr>
        <w:t>“</w:t>
      </w:r>
      <w:r w:rsidR="00357060" w:rsidRPr="00357060">
        <w:rPr>
          <w:rFonts w:ascii="Arial" w:hAnsi="Arial" w:cs="Arial"/>
          <w:color w:val="002060"/>
          <w:sz w:val="20"/>
          <w:szCs w:val="20"/>
        </w:rPr>
        <w:t xml:space="preserve">To isolate classical predictive coding deficits, a prior noise (PN) control model simulated weak top-down expectations by drastically reducing internal prior precisions (W_1,W_2) without changing </w:t>
      </w:r>
      <w:r w:rsidR="00357060" w:rsidRPr="00357060">
        <w:rPr>
          <w:rFonts w:ascii="Arial" w:hAnsi="Arial" w:cs="Arial"/>
          <w:color w:val="002060"/>
          <w:sz w:val="20"/>
          <w:szCs w:val="20"/>
        </w:rPr>
        <w:lastRenderedPageBreak/>
        <w:t>lower-level precisions and without elimination of temporal derivatives. Contrasting the temporal lesion model, PN changed PE dynamics: unimodal PE significantly decreased (Mdn_True  = 1.270 vs.0.789; Z = 5.237,p &lt; .001,r = 0.370), with transmodal PE significantly decreased (Z = 8.682,p &lt; .001,r = 0.614).</w:t>
      </w:r>
    </w:p>
    <w:p w14:paraId="0C513A90" w14:textId="2F3E663C" w:rsidR="00DD4A18" w:rsidRPr="00357060" w:rsidRDefault="00357060" w:rsidP="00357060">
      <w:pPr>
        <w:pStyle w:val="p1"/>
        <w:numPr>
          <w:ilvl w:val="0"/>
          <w:numId w:val="1"/>
        </w:numPr>
        <w:spacing w:line="480" w:lineRule="auto"/>
        <w:jc w:val="both"/>
        <w:rPr>
          <w:rFonts w:ascii="Arial" w:hAnsi="Arial" w:cs="Arial"/>
          <w:color w:val="002060"/>
          <w:sz w:val="20"/>
          <w:szCs w:val="20"/>
          <w14:textOutline w14:w="0" w14:cap="flat" w14:cmpd="sng" w14:algn="ctr">
            <w14:noFill/>
            <w14:prstDash w14:val="solid"/>
            <w14:bevel/>
          </w14:textOutline>
        </w:rPr>
      </w:pPr>
      <w:r w:rsidRPr="00357060">
        <w:rPr>
          <w:rFonts w:ascii="Arial" w:hAnsi="Arial" w:cs="Arial"/>
          <w:color w:val="002060"/>
          <w:sz w:val="20"/>
          <w:szCs w:val="20"/>
        </w:rPr>
        <w:t>Furthermore, ACW significantly shortened at both unimodal (Z = 4.224, p &lt; .001, r = 0.3) and transmodal (Z = 5.533, p &lt; .001, r = 0.4) levels. Lacking top-down temporal constraint, the PN model exhibited systemic temporal hyper-reactivity with temporal shortening the ACW duration rather than hierarchical prolongation with longer ACW. While this classical prior noise model partially mimics our primary findings by reproducing the attenuated prediction errors in lower unimodal regions, it does not fully capture the disorder's generative pathology. Specifically, it fundamentally fails to reproduce the hierarchical uncoupling seen in our temporal imprecision model; instead of driving an increase in transmodal PE and a pathological prolongation of intrinsic timescales, the PN model results in a decrease in transmodal PE and a systemic shortening of the ACW. This contrast confirms that simple top-down precision deficits cannot independently drive the core temporal integration abnormalities and long-range predictive breakdown modeled in our temporal imprecision framework of SZ.</w:t>
      </w:r>
      <w:r w:rsidR="00DD4A18" w:rsidRPr="00357060">
        <w:rPr>
          <w:rFonts w:ascii="Arial" w:hAnsi="Arial" w:cs="Arial"/>
          <w:color w:val="002060"/>
          <w:sz w:val="20"/>
          <w:szCs w:val="20"/>
          <w14:textOutline w14:w="0" w14:cap="flat" w14:cmpd="sng" w14:algn="ctr">
            <w14:noFill/>
            <w14:prstDash w14:val="solid"/>
            <w14:bevel/>
          </w14:textOutline>
        </w:rPr>
        <w:t xml:space="preserve">” </w:t>
      </w:r>
      <w:r w:rsidR="00DD4A18" w:rsidRPr="00357060">
        <w:rPr>
          <w:rFonts w:ascii="Arial" w:hAnsi="Arial" w:cs="Arial"/>
          <w:sz w:val="20"/>
          <w:szCs w:val="20"/>
          <w14:textOutline w14:w="0" w14:cap="flat" w14:cmpd="sng" w14:algn="ctr">
            <w14:noFill/>
            <w14:prstDash w14:val="solid"/>
            <w14:bevel/>
          </w14:textOutline>
        </w:rPr>
        <w:t xml:space="preserve">(Schizophrenia Results </w:t>
      </w:r>
      <w:r w:rsidR="00CA478A" w:rsidRPr="00357060">
        <w:rPr>
          <w:rFonts w:ascii="Arial" w:hAnsi="Arial" w:cs="Arial"/>
          <w:sz w:val="20"/>
          <w:szCs w:val="20"/>
          <w14:textOutline w14:w="0" w14:cap="flat" w14:cmpd="sng" w14:algn="ctr">
            <w14:noFill/>
            <w14:prstDash w14:val="solid"/>
            <w14:bevel/>
          </w14:textOutline>
        </w:rPr>
        <w:t>-</w:t>
      </w:r>
      <w:r w:rsidR="00DD4A18" w:rsidRPr="00357060">
        <w:rPr>
          <w:rFonts w:ascii="Arial" w:hAnsi="Arial" w:cs="Arial"/>
          <w:sz w:val="20"/>
          <w:szCs w:val="20"/>
          <w14:textOutline w14:w="0" w14:cap="flat" w14:cmpd="sng" w14:algn="ctr">
            <w14:noFill/>
            <w14:prstDash w14:val="solid"/>
            <w14:bevel/>
          </w14:textOutline>
        </w:rPr>
        <w:t xml:space="preserve"> </w:t>
      </w:r>
      <w:r w:rsidR="00B200A6" w:rsidRPr="00357060">
        <w:rPr>
          <w:rFonts w:ascii="Arial" w:hAnsi="Arial" w:cs="Arial"/>
          <w:sz w:val="20"/>
          <w:szCs w:val="20"/>
          <w14:textOutline w14:w="0" w14:cap="flat" w14:cmpd="sng" w14:algn="ctr">
            <w14:noFill/>
            <w14:prstDash w14:val="solid"/>
            <w14:bevel/>
          </w14:textOutline>
        </w:rPr>
        <w:t xml:space="preserve">Alternative Models </w:t>
      </w:r>
      <w:r w:rsidR="00CA478A" w:rsidRPr="00357060">
        <w:rPr>
          <w:rFonts w:ascii="Arial" w:hAnsi="Arial" w:cs="Arial"/>
          <w:sz w:val="20"/>
          <w:szCs w:val="20"/>
          <w14:textOutline w14:w="0" w14:cap="flat" w14:cmpd="sng" w14:algn="ctr">
            <w14:noFill/>
            <w14:prstDash w14:val="solid"/>
            <w14:bevel/>
          </w14:textOutline>
        </w:rPr>
        <w:t>-</w:t>
      </w:r>
      <w:r w:rsidR="00B200A6" w:rsidRPr="00357060">
        <w:rPr>
          <w:rFonts w:ascii="Arial" w:hAnsi="Arial" w:cs="Arial"/>
          <w:sz w:val="20"/>
          <w:szCs w:val="20"/>
          <w14:textOutline w14:w="0" w14:cap="flat" w14:cmpd="sng" w14:algn="ctr">
            <w14:noFill/>
            <w14:prstDash w14:val="solid"/>
            <w14:bevel/>
          </w14:textOutline>
        </w:rPr>
        <w:t xml:space="preserve"> Prior Noise Control Simulation</w:t>
      </w:r>
      <w:r w:rsidR="00746902" w:rsidRPr="00357060">
        <w:rPr>
          <w:rFonts w:ascii="Arial" w:hAnsi="Arial" w:cs="Arial"/>
          <w:sz w:val="20"/>
          <w:szCs w:val="20"/>
          <w14:textOutline w14:w="0" w14:cap="flat" w14:cmpd="sng" w14:algn="ctr">
            <w14:noFill/>
            <w14:prstDash w14:val="solid"/>
            <w14:bevel/>
          </w14:textOutline>
        </w:rPr>
        <w:t>, page 2</w:t>
      </w:r>
      <w:r w:rsidR="00482D20">
        <w:rPr>
          <w:rFonts w:ascii="Arial" w:hAnsi="Arial" w:cs="Arial"/>
          <w:sz w:val="20"/>
          <w:szCs w:val="20"/>
          <w14:textOutline w14:w="0" w14:cap="flat" w14:cmpd="sng" w14:algn="ctr">
            <w14:noFill/>
            <w14:prstDash w14:val="solid"/>
            <w14:bevel/>
          </w14:textOutline>
        </w:rPr>
        <w:t>0</w:t>
      </w:r>
      <w:r w:rsidR="00746902" w:rsidRPr="00357060">
        <w:rPr>
          <w:rFonts w:ascii="Arial" w:hAnsi="Arial" w:cs="Arial"/>
          <w:sz w:val="20"/>
          <w:szCs w:val="20"/>
          <w14:textOutline w14:w="0" w14:cap="flat" w14:cmpd="sng" w14:algn="ctr">
            <w14:noFill/>
            <w14:prstDash w14:val="solid"/>
            <w14:bevel/>
          </w14:textOutline>
        </w:rPr>
        <w:t xml:space="preserve">, Lines </w:t>
      </w:r>
      <w:r w:rsidR="0027551C">
        <w:rPr>
          <w:rFonts w:ascii="Arial" w:hAnsi="Arial" w:cs="Arial"/>
          <w:sz w:val="20"/>
          <w:szCs w:val="20"/>
          <w14:textOutline w14:w="0" w14:cap="flat" w14:cmpd="sng" w14:algn="ctr">
            <w14:noFill/>
            <w14:prstDash w14:val="solid"/>
            <w14:bevel/>
          </w14:textOutline>
        </w:rPr>
        <w:t>472-</w:t>
      </w:r>
      <w:r w:rsidR="00A12AD8">
        <w:rPr>
          <w:rFonts w:ascii="Arial" w:hAnsi="Arial" w:cs="Arial"/>
          <w:sz w:val="20"/>
          <w:szCs w:val="20"/>
          <w14:textOutline w14:w="0" w14:cap="flat" w14:cmpd="sng" w14:algn="ctr">
            <w14:noFill/>
            <w14:prstDash w14:val="solid"/>
            <w14:bevel/>
          </w14:textOutline>
        </w:rPr>
        <w:t>486</w:t>
      </w:r>
      <w:r w:rsidR="00B200A6" w:rsidRPr="00357060">
        <w:rPr>
          <w:rFonts w:ascii="Arial" w:hAnsi="Arial" w:cs="Arial"/>
          <w:sz w:val="20"/>
          <w:szCs w:val="20"/>
          <w14:textOutline w14:w="0" w14:cap="flat" w14:cmpd="sng" w14:algn="ctr">
            <w14:noFill/>
            <w14:prstDash w14:val="solid"/>
            <w14:bevel/>
          </w14:textOutline>
        </w:rPr>
        <w:t>)</w:t>
      </w:r>
    </w:p>
    <w:p w14:paraId="2E617D9D" w14:textId="29970DAF" w:rsidR="00B200A6" w:rsidRPr="00D94E0F" w:rsidRDefault="00CA478A" w:rsidP="00CA478A">
      <w:pPr>
        <w:pStyle w:val="p1"/>
        <w:spacing w:line="480" w:lineRule="auto"/>
        <w:jc w:val="both"/>
        <w:rPr>
          <w:rFonts w:ascii="Arial" w:hAnsi="Arial" w:cs="Arial"/>
          <w14:textOutline w14:w="0" w14:cap="flat" w14:cmpd="sng" w14:algn="ctr">
            <w14:noFill/>
            <w14:prstDash w14:val="solid"/>
            <w14:bevel/>
          </w14:textOutline>
        </w:rPr>
      </w:pPr>
      <w:r w:rsidRPr="00D94E0F">
        <w:rPr>
          <w:rFonts w:ascii="Arial" w:hAnsi="Arial" w:cs="Arial"/>
          <w14:textOutline w14:w="0" w14:cap="flat" w14:cmpd="sng" w14:algn="ctr">
            <w14:noFill/>
            <w14:prstDash w14:val="solid"/>
            <w14:bevel/>
          </w14:textOutline>
        </w:rPr>
        <w:t xml:space="preserve">We altered in the main manuscript that, since we are in the frequency range of EEG and simulation are not using </w:t>
      </w:r>
      <w:r w:rsidR="00CE022C" w:rsidRPr="00D94E0F">
        <w:rPr>
          <w:rFonts w:ascii="Arial" w:hAnsi="Arial" w:cs="Arial"/>
          <w14:textOutline w14:w="0" w14:cap="flat" w14:cmpd="sng" w14:algn="ctr">
            <w14:noFill/>
            <w14:prstDash w14:val="solid"/>
            <w14:bevel/>
          </w14:textOutline>
        </w:rPr>
        <w:t xml:space="preserve">hemodynamic response function, we based our statistical reasoning on </w:t>
      </w:r>
      <w:r w:rsidR="00CD610C" w:rsidRPr="00D94E0F">
        <w:rPr>
          <w:rFonts w:ascii="Arial" w:hAnsi="Arial" w:cs="Arial"/>
          <w14:textOutline w14:w="0" w14:cap="flat" w14:cmpd="sng" w14:algn="ctr">
            <w14:noFill/>
            <w14:prstDash w14:val="solid"/>
            <w14:bevel/>
          </w14:textOutline>
        </w:rPr>
        <w:t>prolongation of INT in SZ, such as EEG results.</w:t>
      </w:r>
      <w:r w:rsidR="0091392C" w:rsidRPr="00D94E0F">
        <w:rPr>
          <w:rFonts w:ascii="Arial" w:hAnsi="Arial" w:cs="Arial"/>
          <w14:textOutline w14:w="0" w14:cap="flat" w14:cmpd="sng" w14:algn="ctr">
            <w14:noFill/>
            <w14:prstDash w14:val="solid"/>
            <w14:bevel/>
          </w14:textOutline>
        </w:rPr>
        <w:t xml:space="preserve"> We changed that also in the main manuscript</w:t>
      </w:r>
      <w:r w:rsidR="00542892">
        <w:rPr>
          <w:rFonts w:ascii="Arial" w:hAnsi="Arial" w:cs="Arial"/>
          <w14:textOutline w14:w="0" w14:cap="flat" w14:cmpd="sng" w14:algn="ctr">
            <w14:noFill/>
            <w14:prstDash w14:val="solid"/>
            <w14:bevel/>
          </w14:textOutline>
        </w:rPr>
        <w:t xml:space="preserve"> (</w:t>
      </w:r>
      <w:r w:rsidR="002D4F55">
        <w:rPr>
          <w:rFonts w:ascii="Arial" w:hAnsi="Arial" w:cs="Arial"/>
          <w14:textOutline w14:w="0" w14:cap="flat" w14:cmpd="sng" w14:algn="ctr">
            <w14:noFill/>
            <w14:prstDash w14:val="solid"/>
            <w14:bevel/>
          </w14:textOutline>
        </w:rPr>
        <w:t>page 1</w:t>
      </w:r>
      <w:r w:rsidR="00233BB5">
        <w:rPr>
          <w:rFonts w:ascii="Arial" w:hAnsi="Arial" w:cs="Arial"/>
          <w14:textOutline w14:w="0" w14:cap="flat" w14:cmpd="sng" w14:algn="ctr">
            <w14:noFill/>
            <w14:prstDash w14:val="solid"/>
            <w14:bevel/>
          </w14:textOutline>
        </w:rPr>
        <w:t>2</w:t>
      </w:r>
      <w:r w:rsidR="002D4F55">
        <w:rPr>
          <w:rFonts w:ascii="Arial" w:hAnsi="Arial" w:cs="Arial"/>
          <w14:textOutline w14:w="0" w14:cap="flat" w14:cmpd="sng" w14:algn="ctr">
            <w14:noFill/>
            <w14:prstDash w14:val="solid"/>
            <w14:bevel/>
          </w14:textOutline>
        </w:rPr>
        <w:t xml:space="preserve">, </w:t>
      </w:r>
      <w:r w:rsidR="00542892">
        <w:rPr>
          <w:rFonts w:ascii="Arial" w:hAnsi="Arial" w:cs="Arial"/>
          <w14:textOutline w14:w="0" w14:cap="flat" w14:cmpd="sng" w14:algn="ctr">
            <w14:noFill/>
            <w14:prstDash w14:val="solid"/>
            <w14:bevel/>
          </w14:textOutline>
        </w:rPr>
        <w:t xml:space="preserve">lines </w:t>
      </w:r>
      <w:r w:rsidR="003361E3">
        <w:rPr>
          <w:rFonts w:ascii="Arial" w:hAnsi="Arial" w:cs="Arial"/>
          <w14:textOutline w14:w="0" w14:cap="flat" w14:cmpd="sng" w14:algn="ctr">
            <w14:noFill/>
            <w14:prstDash w14:val="solid"/>
            <w14:bevel/>
          </w14:textOutline>
        </w:rPr>
        <w:t>279</w:t>
      </w:r>
      <w:r w:rsidR="00542892">
        <w:rPr>
          <w:rFonts w:ascii="Arial" w:hAnsi="Arial" w:cs="Arial"/>
          <w14:textOutline w14:w="0" w14:cap="flat" w14:cmpd="sng" w14:algn="ctr">
            <w14:noFill/>
            <w14:prstDash w14:val="solid"/>
            <w14:bevel/>
          </w14:textOutline>
        </w:rPr>
        <w:t>-</w:t>
      </w:r>
      <w:r w:rsidR="002A66B4">
        <w:rPr>
          <w:rFonts w:ascii="Arial" w:hAnsi="Arial" w:cs="Arial"/>
          <w14:textOutline w14:w="0" w14:cap="flat" w14:cmpd="sng" w14:algn="ctr">
            <w14:noFill/>
            <w14:prstDash w14:val="solid"/>
            <w14:bevel/>
          </w14:textOutline>
        </w:rPr>
        <w:t>291</w:t>
      </w:r>
      <w:r w:rsidR="002D4F55">
        <w:rPr>
          <w:rFonts w:ascii="Arial" w:hAnsi="Arial" w:cs="Arial"/>
          <w14:textOutline w14:w="0" w14:cap="flat" w14:cmpd="sng" w14:algn="ctr">
            <w14:noFill/>
            <w14:prstDash w14:val="solid"/>
            <w14:bevel/>
          </w14:textOutline>
        </w:rPr>
        <w:t>)</w:t>
      </w:r>
      <w:r w:rsidR="00D94E0F" w:rsidRPr="00D94E0F">
        <w:rPr>
          <w:rFonts w:ascii="Arial" w:hAnsi="Arial" w:cs="Arial"/>
          <w14:textOutline w14:w="0" w14:cap="flat" w14:cmpd="sng" w14:algn="ctr">
            <w14:noFill/>
            <w14:prstDash w14:val="solid"/>
            <w14:bevel/>
          </w14:textOutline>
        </w:rPr>
        <w:t>:</w:t>
      </w:r>
    </w:p>
    <w:p w14:paraId="6D5CEBA0" w14:textId="48960411" w:rsidR="00D94E0F" w:rsidRPr="00DF4696" w:rsidRDefault="00D94E0F" w:rsidP="00D94E0F">
      <w:pPr>
        <w:pStyle w:val="p1"/>
        <w:numPr>
          <w:ilvl w:val="0"/>
          <w:numId w:val="1"/>
        </w:numPr>
        <w:spacing w:line="480" w:lineRule="auto"/>
        <w:jc w:val="both"/>
        <w:rPr>
          <w:rFonts w:ascii="Arial" w:hAnsi="Arial" w:cs="Arial"/>
          <w:color w:val="002060"/>
          <w:sz w:val="20"/>
          <w:szCs w:val="20"/>
          <w14:textOutline w14:w="0" w14:cap="flat" w14:cmpd="sng" w14:algn="ctr">
            <w14:noFill/>
            <w14:prstDash w14:val="solid"/>
            <w14:bevel/>
          </w14:textOutline>
        </w:rPr>
      </w:pPr>
      <w:r w:rsidRPr="00DF4696">
        <w:rPr>
          <w:rFonts w:ascii="Arial" w:hAnsi="Arial" w:cs="Arial"/>
          <w:color w:val="002060"/>
          <w:sz w:val="20"/>
          <w:szCs w:val="20"/>
          <w14:textOutline w14:w="0" w14:cap="flat" w14:cmpd="sng" w14:algn="ctr">
            <w14:noFill/>
            <w14:prstDash w14:val="solid"/>
            <w14:bevel/>
          </w14:textOutline>
        </w:rPr>
        <w:t>“</w:t>
      </w:r>
      <w:r w:rsidR="00F65825" w:rsidRPr="00F65825">
        <w:rPr>
          <w:rFonts w:ascii="Arial" w:hAnsi="Arial" w:cs="Arial"/>
          <w:color w:val="002060"/>
          <w:sz w:val="20"/>
          <w:szCs w:val="20"/>
          <w14:textOutline w14:w="0" w14:cap="flat" w14:cmpd="sng" w14:algn="ctr">
            <w14:noFill/>
            <w14:prstDash w14:val="solid"/>
            <w14:bevel/>
          </w14:textOutline>
        </w:rPr>
        <w:t xml:space="preserve">At longer timescales, temporal disturbances are reflected in alterations of INTs as indexed by the ACW. EEG studies demonstrate a severe loss of rest-task modulation; unlike healthy controls who dynamically shorten ACW to meet cognitive demands, patients fail to adapt, resulting in an abnormally prolonged task-evoked ACW during higher order processing (85–88). In healthy individuals, longer intrinsic timescales support the stable integration of faster neural events, but in schizophrenia this hierarchical coordination is disrupted: prolonged ACW coexists with reduced </w:t>
      </w:r>
      <w:r w:rsidR="00F65825" w:rsidRPr="00F65825">
        <w:rPr>
          <w:rFonts w:ascii="Arial" w:hAnsi="Arial" w:cs="Arial"/>
          <w:color w:val="002060"/>
          <w:sz w:val="20"/>
          <w:szCs w:val="20"/>
          <w14:textOutline w14:w="0" w14:cap="flat" w14:cmpd="sng" w14:algn="ctr">
            <w14:noFill/>
            <w14:prstDash w14:val="solid"/>
            <w14:bevel/>
          </w14:textOutline>
        </w:rPr>
        <w:lastRenderedPageBreak/>
        <w:t>phase alignment, indicating a dissociation between slow integration windows and precise millisecond-level timing (82,89). Together, these findings suggest that schizophrenia involves a widespread disturbance of neural timing across the different levels of phase and amplitude dynamics, multiple timescales including short and long, and both spontaneous and stimulus-driven activity. This identifies temporal imprecision as a core neurophysiological feature of psychosis, and possibly as strong candidate for a basic or generative disturbance (73). (Box 1 provides a detailed integration of the specific neurobiological and pharmacological mechanisms—such as NMDA hypofunction and dopaminergic gain dysregulation</w:t>
      </w:r>
      <w:r w:rsidR="00283399" w:rsidRPr="00F65825">
        <w:rPr>
          <w:rFonts w:ascii="Arial" w:hAnsi="Arial" w:cs="Arial"/>
          <w:color w:val="002060"/>
          <w:sz w:val="20"/>
          <w:szCs w:val="20"/>
          <w14:textOutline w14:w="0" w14:cap="flat" w14:cmpd="sng" w14:algn="ctr">
            <w14:noFill/>
            <w14:prstDash w14:val="solid"/>
            <w14:bevel/>
          </w14:textOutline>
        </w:rPr>
        <w:t>—</w:t>
      </w:r>
      <w:r w:rsidR="00F65825" w:rsidRPr="00F65825">
        <w:rPr>
          <w:rFonts w:ascii="Arial" w:hAnsi="Arial" w:cs="Arial"/>
          <w:color w:val="002060"/>
          <w:sz w:val="20"/>
          <w:szCs w:val="20"/>
          <w14:textOutline w14:w="0" w14:cap="flat" w14:cmpd="sng" w14:algn="ctr">
            <w14:noFill/>
            <w14:prstDash w14:val="solid"/>
            <w14:bevel/>
          </w14:textOutline>
        </w:rPr>
        <w:t>that drive this generative disturbance at the cellular level).</w:t>
      </w:r>
      <w:r w:rsidRPr="00DF4696">
        <w:rPr>
          <w:rFonts w:ascii="Arial" w:hAnsi="Arial" w:cs="Arial"/>
          <w:color w:val="002060"/>
          <w:sz w:val="20"/>
          <w:szCs w:val="20"/>
          <w14:textOutline w14:w="0" w14:cap="flat" w14:cmpd="sng" w14:algn="ctr">
            <w14:noFill/>
            <w14:prstDash w14:val="solid"/>
            <w14:bevel/>
          </w14:textOutline>
        </w:rPr>
        <w:t>”</w:t>
      </w:r>
    </w:p>
    <w:p w14:paraId="197A035F" w14:textId="663CF065" w:rsidR="00285E76" w:rsidRPr="00746518" w:rsidRDefault="008C15CE" w:rsidP="00746518">
      <w:pPr>
        <w:pStyle w:val="p1"/>
        <w:spacing w:line="480" w:lineRule="auto"/>
        <w:jc w:val="both"/>
        <w:rPr>
          <w:rFonts w:ascii="Arial" w:hAnsi="Arial" w:cs="Arial"/>
          <w14:textOutline w14:w="0" w14:cap="flat" w14:cmpd="sng" w14:algn="ctr">
            <w14:noFill/>
            <w14:prstDash w14:val="solid"/>
            <w14:bevel/>
          </w14:textOutline>
        </w:rPr>
      </w:pPr>
      <w:r w:rsidRPr="00746518">
        <w:rPr>
          <w:rFonts w:ascii="Arial" w:hAnsi="Arial" w:cs="Arial"/>
          <w14:textOutline w14:w="0" w14:cap="flat" w14:cmpd="sng" w14:algn="ctr">
            <w14:noFill/>
            <w14:prstDash w14:val="solid"/>
            <w14:bevel/>
          </w14:textOutline>
        </w:rPr>
        <w:t xml:space="preserve">Thus, we conclude that sensory noise and prior noise simulations are not consistent with empirical evidences for both </w:t>
      </w:r>
      <w:r w:rsidR="00285E76" w:rsidRPr="00746518">
        <w:rPr>
          <w:rFonts w:ascii="Arial" w:hAnsi="Arial" w:cs="Arial"/>
          <w14:textOutline w14:w="0" w14:cap="flat" w14:cmpd="sng" w14:algn="ctr">
            <w14:noFill/>
            <w14:prstDash w14:val="solid"/>
            <w14:bevel/>
          </w14:textOutline>
        </w:rPr>
        <w:t>PE and ACW</w:t>
      </w:r>
      <w:r w:rsidR="00DF4696">
        <w:rPr>
          <w:rFonts w:ascii="Arial" w:hAnsi="Arial" w:cs="Arial"/>
          <w14:textOutline w14:w="0" w14:cap="flat" w14:cmpd="sng" w14:algn="ctr">
            <w14:noFill/>
            <w14:prstDash w14:val="solid"/>
            <w14:bevel/>
          </w14:textOutline>
        </w:rPr>
        <w:t xml:space="preserve"> </w:t>
      </w:r>
      <w:r w:rsidR="005969A4">
        <w:rPr>
          <w:rFonts w:ascii="Arial" w:hAnsi="Arial" w:cs="Arial"/>
          <w14:textOutline w14:w="0" w14:cap="flat" w14:cmpd="sng" w14:algn="ctr">
            <w14:noFill/>
            <w14:prstDash w14:val="solid"/>
            <w14:bevel/>
          </w14:textOutline>
        </w:rPr>
        <w:t xml:space="preserve">(page </w:t>
      </w:r>
      <w:r w:rsidR="00822354">
        <w:rPr>
          <w:rFonts w:ascii="Arial" w:hAnsi="Arial" w:cs="Arial"/>
          <w14:textOutline w14:w="0" w14:cap="flat" w14:cmpd="sng" w14:algn="ctr">
            <w14:noFill/>
            <w14:prstDash w14:val="solid"/>
            <w14:bevel/>
          </w14:textOutline>
        </w:rPr>
        <w:t>2</w:t>
      </w:r>
      <w:r w:rsidR="0062087B">
        <w:rPr>
          <w:rFonts w:ascii="Arial" w:hAnsi="Arial" w:cs="Arial"/>
          <w14:textOutline w14:w="0" w14:cap="flat" w14:cmpd="sng" w14:algn="ctr">
            <w14:noFill/>
            <w14:prstDash w14:val="solid"/>
            <w14:bevel/>
          </w14:textOutline>
        </w:rPr>
        <w:t>2</w:t>
      </w:r>
      <w:r w:rsidR="00822354">
        <w:rPr>
          <w:rFonts w:ascii="Arial" w:hAnsi="Arial" w:cs="Arial"/>
          <w14:textOutline w14:w="0" w14:cap="flat" w14:cmpd="sng" w14:algn="ctr">
            <w14:noFill/>
            <w14:prstDash w14:val="solid"/>
            <w14:bevel/>
          </w14:textOutline>
        </w:rPr>
        <w:t xml:space="preserve">, </w:t>
      </w:r>
      <w:r w:rsidR="006774EB">
        <w:rPr>
          <w:rFonts w:ascii="Arial" w:hAnsi="Arial" w:cs="Arial"/>
          <w14:textOutline w14:w="0" w14:cap="flat" w14:cmpd="sng" w14:algn="ctr">
            <w14:noFill/>
            <w14:prstDash w14:val="solid"/>
            <w14:bevel/>
          </w14:textOutline>
        </w:rPr>
        <w:t>527-</w:t>
      </w:r>
      <w:r w:rsidR="00987916">
        <w:rPr>
          <w:rFonts w:ascii="Arial" w:hAnsi="Arial" w:cs="Arial"/>
          <w14:textOutline w14:w="0" w14:cap="flat" w14:cmpd="sng" w14:algn="ctr">
            <w14:noFill/>
            <w14:prstDash w14:val="solid"/>
            <w14:bevel/>
          </w14:textOutline>
        </w:rPr>
        <w:t>539</w:t>
      </w:r>
      <w:r w:rsidR="00DF4696">
        <w:rPr>
          <w:rFonts w:ascii="Arial" w:hAnsi="Arial" w:cs="Arial"/>
          <w14:textOutline w14:w="0" w14:cap="flat" w14:cmpd="sng" w14:algn="ctr">
            <w14:noFill/>
            <w14:prstDash w14:val="solid"/>
            <w14:bevel/>
          </w14:textOutline>
        </w:rPr>
        <w:t>)</w:t>
      </w:r>
      <w:r w:rsidR="00746518" w:rsidRPr="00746518">
        <w:rPr>
          <w:rFonts w:ascii="Arial" w:hAnsi="Arial" w:cs="Arial"/>
          <w14:textOutline w14:w="0" w14:cap="flat" w14:cmpd="sng" w14:algn="ctr">
            <w14:noFill/>
            <w14:prstDash w14:val="solid"/>
            <w14:bevel/>
          </w14:textOutline>
        </w:rPr>
        <w:t>:</w:t>
      </w:r>
    </w:p>
    <w:p w14:paraId="694C755F" w14:textId="77777777" w:rsidR="00345FB1" w:rsidRPr="00345FB1" w:rsidRDefault="00746518" w:rsidP="00345FB1">
      <w:pPr>
        <w:pStyle w:val="p1"/>
        <w:numPr>
          <w:ilvl w:val="0"/>
          <w:numId w:val="1"/>
        </w:numPr>
        <w:spacing w:line="480" w:lineRule="auto"/>
        <w:jc w:val="both"/>
        <w:rPr>
          <w:rFonts w:ascii="Arial" w:hAnsi="Arial" w:cs="Arial"/>
          <w:color w:val="002060"/>
          <w:sz w:val="20"/>
          <w:szCs w:val="20"/>
          <w14:textOutline w14:w="0" w14:cap="flat" w14:cmpd="sng" w14:algn="ctr">
            <w14:noFill/>
            <w14:prstDash w14:val="solid"/>
            <w14:bevel/>
          </w14:textOutline>
        </w:rPr>
      </w:pPr>
      <w:r w:rsidRPr="00DF4696">
        <w:rPr>
          <w:rFonts w:ascii="Arial" w:hAnsi="Arial" w:cs="Arial"/>
          <w:color w:val="002060"/>
          <w:sz w:val="20"/>
          <w:szCs w:val="20"/>
          <w14:textOutline w14:w="0" w14:cap="flat" w14:cmpd="sng" w14:algn="ctr">
            <w14:noFill/>
            <w14:prstDash w14:val="solid"/>
            <w14:bevel/>
          </w14:textOutline>
        </w:rPr>
        <w:t>“</w:t>
      </w:r>
      <w:r w:rsidR="00345FB1" w:rsidRPr="00345FB1">
        <w:rPr>
          <w:rFonts w:ascii="Arial" w:hAnsi="Arial" w:cs="Arial"/>
          <w:color w:val="002060"/>
          <w:sz w:val="20"/>
          <w:szCs w:val="20"/>
          <w14:textOutline w14:w="0" w14:cap="flat" w14:cmpd="sng" w14:algn="ctr">
            <w14:noFill/>
            <w14:prstDash w14:val="solid"/>
            <w14:bevel/>
          </w14:textOutline>
        </w:rPr>
        <w:t xml:space="preserve">While alternative accounts of the disorder remain controversial, our temporal imprecision model replicated the specific findings of PE. In contrast, neither the sensory noise nor the prior noise control models could reproduce this pattern. Instead, sensory noise yielded elevated unimodal PE and suppressed transmodal PE, while prior noise exhibited decreased unimodal PE while decreased transmodal PE. Thus, we favor temporal imprecision as a primary driver. The same holds for the INT. </w:t>
      </w:r>
    </w:p>
    <w:p w14:paraId="2A55D1A6" w14:textId="353FA4B1" w:rsidR="00746518" w:rsidRPr="00DF4696" w:rsidRDefault="00345FB1" w:rsidP="00345FB1">
      <w:pPr>
        <w:pStyle w:val="p1"/>
        <w:spacing w:line="480" w:lineRule="auto"/>
        <w:ind w:left="720"/>
        <w:jc w:val="both"/>
        <w:rPr>
          <w:rFonts w:ascii="Arial" w:hAnsi="Arial" w:cs="Arial"/>
          <w:color w:val="002060"/>
          <w:sz w:val="20"/>
          <w:szCs w:val="20"/>
          <w14:textOutline w14:w="0" w14:cap="flat" w14:cmpd="sng" w14:algn="ctr">
            <w14:noFill/>
            <w14:prstDash w14:val="solid"/>
            <w14:bevel/>
          </w14:textOutline>
        </w:rPr>
      </w:pPr>
      <w:r w:rsidRPr="00345FB1">
        <w:rPr>
          <w:rFonts w:ascii="Arial" w:hAnsi="Arial" w:cs="Arial"/>
          <w:color w:val="002060"/>
          <w:sz w:val="20"/>
          <w:szCs w:val="20"/>
          <w14:textOutline w14:w="0" w14:cap="flat" w14:cmpd="sng" w14:algn="ctr">
            <w14:noFill/>
            <w14:prstDash w14:val="solid"/>
            <w14:bevel/>
          </w14:textOutline>
        </w:rPr>
        <w:t>Empirical EEG studies consistently demonstrate that intrinsic neural timescales (INT, as measured by ACW) are pathologically prolonged in schizophrenia compared to healthy controls (123). Aligning with these clinical findings, our temporal imprecision model yielded a prolonged ACW across both unimodal and transmodal levels. In contrast, the prior noise model resulted in a shortened ACW, while the sensory noise model resulted in prolongation of ACW due to a compensatory shift in precision-weighting, where the network gated out fast environmental fluctuations and tethered its internal dynamics to slow, higher-order temporal constants. Both PE and ACW profiles favor temporal imprecision as the most accurate basic generative disturbance and computational representation of the disorder.</w:t>
      </w:r>
      <w:r w:rsidR="00746518" w:rsidRPr="00DF4696">
        <w:rPr>
          <w:rFonts w:ascii="Arial" w:hAnsi="Arial" w:cs="Arial"/>
          <w:color w:val="002060"/>
          <w:sz w:val="20"/>
          <w:szCs w:val="20"/>
          <w14:textOutline w14:w="0" w14:cap="flat" w14:cmpd="sng" w14:algn="ctr">
            <w14:noFill/>
            <w14:prstDash w14:val="solid"/>
            <w14:bevel/>
          </w14:textOutline>
        </w:rPr>
        <w:t>.”</w:t>
      </w:r>
      <w:r w:rsidR="00E17C0D" w:rsidRPr="00DF4696">
        <w:rPr>
          <w:rFonts w:ascii="Arial" w:hAnsi="Arial" w:cs="Arial"/>
          <w:color w:val="002060"/>
          <w:sz w:val="20"/>
          <w:szCs w:val="20"/>
          <w14:textOutline w14:w="0" w14:cap="flat" w14:cmpd="sng" w14:algn="ctr">
            <w14:noFill/>
            <w14:prstDash w14:val="solid"/>
            <w14:bevel/>
          </w14:textOutline>
        </w:rPr>
        <w:t xml:space="preserve"> (</w:t>
      </w:r>
      <w:r w:rsidR="002A68C6" w:rsidRPr="00DF4696">
        <w:rPr>
          <w:rFonts w:ascii="Arial" w:hAnsi="Arial" w:cs="Arial"/>
          <w:color w:val="002060"/>
          <w:sz w:val="20"/>
          <w:szCs w:val="20"/>
          <w14:textOutline w14:w="0" w14:cap="flat" w14:cmpd="sng" w14:algn="ctr">
            <w14:noFill/>
            <w14:prstDash w14:val="solid"/>
            <w14:bevel/>
          </w14:textOutline>
        </w:rPr>
        <w:t>Discussion: Schizophrenia)</w:t>
      </w:r>
    </w:p>
    <w:p w14:paraId="14E0873D" w14:textId="7DDBD809" w:rsidR="00DF4696" w:rsidRPr="005C74DF" w:rsidRDefault="00DF4696" w:rsidP="00DF4696">
      <w:pPr>
        <w:spacing w:line="360" w:lineRule="auto"/>
        <w:rPr>
          <w:rFonts w:ascii="Arial" w:hAnsi="Arial" w:cs="Arial"/>
        </w:rPr>
      </w:pPr>
      <w:r w:rsidRPr="005C74DF">
        <w:rPr>
          <w:rFonts w:ascii="Arial" w:hAnsi="Arial" w:cs="Arial"/>
          <w:b/>
          <w:bCs/>
        </w:rPr>
        <w:lastRenderedPageBreak/>
        <w:t>Comment 3:</w:t>
      </w:r>
      <w:r w:rsidR="005C74DF" w:rsidRPr="005C74DF">
        <w:rPr>
          <w:rFonts w:ascii="Arial" w:hAnsi="Arial" w:cs="Arial"/>
        </w:rPr>
        <w:t xml:space="preserve"> </w:t>
      </w:r>
      <w:r w:rsidR="005C74DF" w:rsidRPr="0096483D">
        <w:rPr>
          <w:rFonts w:ascii="Arial" w:hAnsi="Arial" w:cs="Arial"/>
          <w:i/>
          <w:iCs/>
        </w:rPr>
        <w:t>“The depression simulation is less convincing, however. Here, the authors reduce speeds in both uni and transmodal regions. They also imbalance likelihood&gt;prior precision unimodally, and prior&gt;likelihood precision transmodally. As a result they find increased PE in unimodal and decreased PE in transmodal regions and increased INT in both. But these results just follow directly from the changes made: it is not at all surprising that INT increases when speed is decreased, or - crucially - that a likelihood&gt;prior imbalance boosts PE (or vice versa). If PE had changed purely as a result of changing timescales then this would support their argument that timescales are fundamental - but it hasn't: they had to also change precisions in the model to make this happen. So this model does not support the hypothesis that timescales are a "primary driver" (line 1054) of predictive dysfunction: the driver here is the adjustment of precisions. Their claim is that a primary timescale decrease would then cause the model to adjust its precisions in this way, but that is pure speculation at this stage and not something they have managed to demonstrate. This point needs to be clarified for the reader, please.”</w:t>
      </w:r>
    </w:p>
    <w:p w14:paraId="2F09417B" w14:textId="69B41A42" w:rsidR="000D146F" w:rsidRDefault="00E4575F" w:rsidP="00DF4696">
      <w:pPr>
        <w:spacing w:line="360" w:lineRule="auto"/>
        <w:rPr>
          <w:rFonts w:ascii="Arial" w:hAnsi="Arial" w:cs="Arial"/>
        </w:rPr>
      </w:pPr>
      <w:r w:rsidRPr="005C74DF">
        <w:rPr>
          <w:b/>
          <w:bCs/>
        </w:rPr>
        <w:t>Response 3:</w:t>
      </w:r>
      <w:r>
        <w:t xml:space="preserve"> </w:t>
      </w:r>
      <w:r w:rsidRPr="005C74DF">
        <w:rPr>
          <w:rFonts w:ascii="Arial" w:hAnsi="Arial" w:cs="Arial"/>
        </w:rPr>
        <w:t>We thank the reviewer for this mathematically rigorous critique. We completely agree that in the previous version of the manuscript, manually introducing precision imbalances concurrently with the temporal speed alterations left our causal claims ambiguous and open to the interpretation of manual parameter tuning.</w:t>
      </w:r>
      <w:r w:rsidR="00491563" w:rsidRPr="005C74DF">
        <w:rPr>
          <w:rFonts w:ascii="Arial" w:hAnsi="Arial" w:cs="Arial"/>
        </w:rPr>
        <w:t xml:space="preserve"> </w:t>
      </w:r>
      <w:r w:rsidRPr="005C74DF">
        <w:rPr>
          <w:rFonts w:ascii="Arial" w:hAnsi="Arial" w:cs="Arial"/>
        </w:rPr>
        <w:t>To definitively address this concern and demonstrate that precision dysregulation is a direct, emergent property of altered neural timescales, we have completely overhauled the simulation architecture. In this revised implementation, we did not manually alter, balance, or adjust any hierarchical precision parameters (V or W). Instead, we introduced only the primary spatiotemporal lesion—a global deceleration of the intrinsic temporal speed constants</w:t>
      </w:r>
      <w:r w:rsidR="00861849">
        <w:rPr>
          <w:rFonts w:ascii="Arial" w:hAnsi="Arial" w:cs="Arial"/>
        </w:rPr>
        <w:t xml:space="preserve"> or removal of temporal derivatives for both schizophrenia</w:t>
      </w:r>
      <w:r w:rsidR="00634185">
        <w:rPr>
          <w:rFonts w:ascii="Arial" w:hAnsi="Arial" w:cs="Arial"/>
        </w:rPr>
        <w:t xml:space="preserve"> (Lines </w:t>
      </w:r>
      <w:r w:rsidR="00E110B3">
        <w:rPr>
          <w:rFonts w:ascii="Arial" w:hAnsi="Arial" w:cs="Arial"/>
        </w:rPr>
        <w:t>363-</w:t>
      </w:r>
      <w:r w:rsidR="000D146F">
        <w:rPr>
          <w:rFonts w:ascii="Arial" w:hAnsi="Arial" w:cs="Arial"/>
        </w:rPr>
        <w:t>365)</w:t>
      </w:r>
      <w:r w:rsidR="00861849">
        <w:rPr>
          <w:rFonts w:ascii="Arial" w:hAnsi="Arial" w:cs="Arial"/>
        </w:rPr>
        <w:t xml:space="preserve"> and depression</w:t>
      </w:r>
      <w:r w:rsidR="00495F5C">
        <w:rPr>
          <w:rFonts w:ascii="Arial" w:hAnsi="Arial" w:cs="Arial"/>
        </w:rPr>
        <w:t xml:space="preserve"> (Lines </w:t>
      </w:r>
      <w:r w:rsidR="00F50C84">
        <w:rPr>
          <w:rFonts w:ascii="Arial" w:hAnsi="Arial" w:cs="Arial"/>
        </w:rPr>
        <w:t xml:space="preserve">709 </w:t>
      </w:r>
      <w:r w:rsidR="008A35E0">
        <w:rPr>
          <w:rFonts w:ascii="Arial" w:hAnsi="Arial" w:cs="Arial"/>
        </w:rPr>
        <w:t>–</w:t>
      </w:r>
      <w:r w:rsidR="00F50C84">
        <w:rPr>
          <w:rFonts w:ascii="Arial" w:hAnsi="Arial" w:cs="Arial"/>
        </w:rPr>
        <w:t xml:space="preserve"> </w:t>
      </w:r>
      <w:r w:rsidR="008A35E0">
        <w:rPr>
          <w:rFonts w:ascii="Arial" w:hAnsi="Arial" w:cs="Arial"/>
        </w:rPr>
        <w:t>714)</w:t>
      </w:r>
      <w:r w:rsidR="00861849">
        <w:rPr>
          <w:rFonts w:ascii="Arial" w:hAnsi="Arial" w:cs="Arial"/>
        </w:rPr>
        <w:t xml:space="preserve">. </w:t>
      </w:r>
    </w:p>
    <w:p w14:paraId="6B16389F" w14:textId="50489B82" w:rsidR="00B21D62" w:rsidRPr="00D10EA2" w:rsidRDefault="00B21D62" w:rsidP="00B22D36">
      <w:pPr>
        <w:pStyle w:val="ListParagraph"/>
        <w:numPr>
          <w:ilvl w:val="0"/>
          <w:numId w:val="1"/>
        </w:numPr>
        <w:spacing w:line="360" w:lineRule="auto"/>
        <w:rPr>
          <w:rFonts w:ascii="Arial" w:hAnsi="Arial" w:cs="Arial"/>
          <w:color w:val="002060"/>
          <w:sz w:val="20"/>
          <w:szCs w:val="20"/>
        </w:rPr>
      </w:pPr>
      <w:r w:rsidRPr="00D10EA2">
        <w:rPr>
          <w:rFonts w:ascii="Arial" w:hAnsi="Arial" w:cs="Arial"/>
          <w:color w:val="002060"/>
          <w:sz w:val="20"/>
          <w:szCs w:val="20"/>
        </w:rPr>
        <w:t>“…</w:t>
      </w:r>
      <w:r w:rsidR="00A50531" w:rsidRPr="00D10EA2">
        <w:rPr>
          <w:rFonts w:ascii="Arial" w:hAnsi="Arial" w:cs="Arial"/>
          <w:color w:val="002060"/>
          <w:sz w:val="20"/>
          <w:szCs w:val="20"/>
        </w:rPr>
        <w:t xml:space="preserve">To test whether temporal slowness drives predictive dysfunction in MDD, we allowed a structurally sluggish network (increasing T in the generative model) to dynamically learn its own precision weightings while processing fast external dynamics. Prior to learning, the MDD model was initialized with baseline parameters for sensory and internal prior precision identical to the true model. Following Free Energy minimization, the temporally slowed MDD model </w:t>
      </w:r>
      <w:r w:rsidR="00A50531" w:rsidRPr="00D10EA2">
        <w:rPr>
          <w:rFonts w:ascii="Arial" w:hAnsi="Arial" w:cs="Arial"/>
          <w:color w:val="002060"/>
          <w:sz w:val="20"/>
          <w:szCs w:val="20"/>
        </w:rPr>
        <w:lastRenderedPageBreak/>
        <w:t>autonomously adjusted its precision expectations to compensate for its reduced intrinsic speed (Figure 6b, See Supplementary Material for full method).</w:t>
      </w:r>
      <w:r w:rsidR="0044398A" w:rsidRPr="00D10EA2">
        <w:rPr>
          <w:rFonts w:ascii="Arial" w:hAnsi="Arial" w:cs="Arial"/>
          <w:color w:val="002060"/>
          <w:sz w:val="20"/>
          <w:szCs w:val="20"/>
        </w:rPr>
        <w:t>”</w:t>
      </w:r>
    </w:p>
    <w:p w14:paraId="64F72E41" w14:textId="3EF84395" w:rsidR="000D146F" w:rsidRPr="00D10EA2" w:rsidRDefault="000D146F" w:rsidP="00B22D36">
      <w:pPr>
        <w:pStyle w:val="ListParagraph"/>
        <w:numPr>
          <w:ilvl w:val="0"/>
          <w:numId w:val="1"/>
        </w:numPr>
        <w:spacing w:line="360" w:lineRule="auto"/>
        <w:rPr>
          <w:rFonts w:ascii="Arial" w:hAnsi="Arial" w:cs="Arial"/>
          <w:color w:val="002060"/>
          <w:sz w:val="20"/>
          <w:szCs w:val="20"/>
        </w:rPr>
      </w:pPr>
      <w:r w:rsidRPr="00D10EA2">
        <w:rPr>
          <w:rFonts w:ascii="Arial" w:hAnsi="Arial" w:cs="Arial"/>
          <w:color w:val="002060"/>
          <w:sz w:val="20"/>
          <w:szCs w:val="20"/>
        </w:rPr>
        <w:t>“…To establish such precision imbalances as a direct downstream consequence of our temporal manipulations, we enabled the model to optimize its precision expectations via Free Energy minimization (See Figure 3b).”</w:t>
      </w:r>
    </w:p>
    <w:p w14:paraId="3D0A12A9" w14:textId="2BF2FA8E" w:rsidR="00E4575F" w:rsidRPr="00D10EA2" w:rsidRDefault="00E4575F" w:rsidP="00DF4696">
      <w:pPr>
        <w:spacing w:line="360" w:lineRule="auto"/>
        <w:rPr>
          <w:rFonts w:ascii="Arial" w:hAnsi="Arial" w:cs="Arial"/>
          <w:color w:val="0070C0"/>
        </w:rPr>
      </w:pPr>
      <w:r w:rsidRPr="005C74DF">
        <w:rPr>
          <w:rFonts w:ascii="Arial" w:hAnsi="Arial" w:cs="Arial"/>
        </w:rPr>
        <w:t>Crucially, we allowed the precision parameters to calibrate entirely autonomously via the Dynamic Expectation Maximization (DEM) framework’s hyperparameter optimization (the M-step), governed strictly by the mathematical mandate of Variational Free Energy minimization.</w:t>
      </w:r>
      <w:r w:rsidR="00491563" w:rsidRPr="005C74DF">
        <w:rPr>
          <w:rFonts w:ascii="Arial" w:hAnsi="Arial" w:cs="Arial"/>
        </w:rPr>
        <w:t xml:space="preserve"> </w:t>
      </w:r>
      <w:r w:rsidRPr="005C74DF">
        <w:rPr>
          <w:rFonts w:ascii="Arial" w:hAnsi="Arial" w:cs="Arial"/>
        </w:rPr>
        <w:t xml:space="preserve">As a direct result of slowing down the temporal update kinetics, the system was forced into a state of prolonged evidence integration over time (mechanistically manifesting as an extended Autocorrelation Window. To minimize overall Free Energy within this slow-moving regime, the generative model optimized its own hyperparameters and autonomously hyper-inflated its top-down prior precision. This provides definitive, non-speculative proof that a primary timescale deceleration automatically forces the generative model to alter its precision weights as a </w:t>
      </w:r>
      <w:r w:rsidRPr="00935F73">
        <w:rPr>
          <w:rFonts w:ascii="Arial" w:hAnsi="Arial" w:cs="Arial"/>
        </w:rPr>
        <w:t>mathematically optimal survival strategy.</w:t>
      </w:r>
    </w:p>
    <w:p w14:paraId="04FD3EA8" w14:textId="5407432D" w:rsidR="00D918DF" w:rsidRPr="00935F73" w:rsidRDefault="001510BF" w:rsidP="001510BF">
      <w:pPr>
        <w:pStyle w:val="Body"/>
        <w:numPr>
          <w:ilvl w:val="0"/>
          <w:numId w:val="1"/>
        </w:numPr>
        <w:spacing w:line="480" w:lineRule="auto"/>
        <w:jc w:val="both"/>
        <w:rPr>
          <w:rFonts w:ascii="Helvetica Neue" w:eastAsia="Helvetica Neue" w:hAnsi="Helvetica Neue" w:cs="Helvetica Neue"/>
          <w:color w:val="002060"/>
          <w:sz w:val="20"/>
          <w:szCs w:val="20"/>
        </w:rPr>
      </w:pPr>
      <w:r w:rsidRPr="00935F73">
        <w:rPr>
          <w:rFonts w:ascii="Helvetica Neue" w:hAnsi="Helvetica Neue"/>
          <w:color w:val="002060"/>
          <w:sz w:val="20"/>
          <w:szCs w:val="20"/>
        </w:rPr>
        <w:t>“</w:t>
      </w:r>
      <w:r w:rsidRPr="00935F73">
        <w:rPr>
          <w:rFonts w:ascii="Arial" w:hAnsi="Arial" w:cs="Arial"/>
          <w:color w:val="002060"/>
          <w:sz w:val="20"/>
          <w:szCs w:val="20"/>
        </w:rPr>
        <w:t>Wilcoxon signed-rank tests indicated a significant reduction in the learned sensory precision (</w:t>
      </w:r>
      <m:oMath>
        <m:sSub>
          <m:sSubPr>
            <m:ctrlPr>
              <w:rPr>
                <w:rFonts w:ascii="Cambria Math" w:hAnsi="Cambria Math" w:cs="Arial"/>
                <w:i/>
                <w:color w:val="002060"/>
                <w:sz w:val="20"/>
                <w:szCs w:val="20"/>
              </w:rPr>
            </m:ctrlPr>
          </m:sSubPr>
          <m:e>
            <m:r>
              <w:rPr>
                <w:rFonts w:ascii="Cambria Math" w:hAnsi="Cambria Math" w:cs="Arial"/>
                <w:color w:val="002060"/>
                <w:sz w:val="20"/>
                <w:szCs w:val="20"/>
              </w:rPr>
              <m:t>V</m:t>
            </m:r>
          </m:e>
          <m:sub>
            <m:r>
              <w:rPr>
                <w:rFonts w:ascii="Cambria Math" w:hAnsi="Cambria Math" w:cs="Arial"/>
                <w:color w:val="002060"/>
                <w:sz w:val="20"/>
                <w:szCs w:val="20"/>
              </w:rPr>
              <m:t>1</m:t>
            </m:r>
          </m:sub>
        </m:sSub>
      </m:oMath>
      <w:r w:rsidRPr="00935F73">
        <w:rPr>
          <w:rFonts w:ascii="Arial" w:hAnsi="Arial" w:cs="Arial"/>
          <w:color w:val="002060"/>
          <w:sz w:val="20"/>
          <w:szCs w:val="20"/>
        </w:rPr>
        <w:t>) of the MDD model (</w:t>
      </w:r>
      <m:oMath>
        <m:r>
          <w:rPr>
            <w:rFonts w:ascii="Cambria Math" w:hAnsi="Cambria Math" w:cs="Arial"/>
            <w:color w:val="002060"/>
            <w:sz w:val="20"/>
            <w:szCs w:val="20"/>
          </w:rPr>
          <m:t>Mdn = -3.831, IQR = 0.846</m:t>
        </m:r>
      </m:oMath>
      <w:r w:rsidRPr="00935F73">
        <w:rPr>
          <w:rFonts w:ascii="Arial" w:hAnsi="Arial" w:cs="Arial"/>
          <w:color w:val="002060"/>
          <w:sz w:val="20"/>
          <w:szCs w:val="20"/>
        </w:rPr>
        <w:t>) compared to the True model (</w:t>
      </w:r>
      <m:oMath>
        <m:r>
          <w:rPr>
            <w:rFonts w:ascii="Cambria Math" w:hAnsi="Cambria Math" w:cs="Arial"/>
            <w:color w:val="002060"/>
            <w:sz w:val="20"/>
            <w:szCs w:val="20"/>
          </w:rPr>
          <m:t>Mdn = -1.287, IQR = 1.022</m:t>
        </m:r>
      </m:oMath>
      <w:r w:rsidRPr="00935F73">
        <w:rPr>
          <w:rFonts w:ascii="Arial" w:hAnsi="Arial" w:cs="Arial"/>
          <w:color w:val="002060"/>
          <w:sz w:val="20"/>
          <w:szCs w:val="20"/>
        </w:rPr>
        <w:t xml:space="preserve">), </w:t>
      </w:r>
      <m:oMath>
        <m:r>
          <w:rPr>
            <w:rFonts w:ascii="Cambria Math" w:hAnsi="Cambria Math" w:cs="Arial"/>
            <w:color w:val="002060"/>
            <w:sz w:val="20"/>
            <w:szCs w:val="20"/>
          </w:rPr>
          <m:t>Z = 7.913, p &lt; .001, r = 0.614</m:t>
        </m:r>
      </m:oMath>
      <w:r w:rsidRPr="00935F73">
        <w:rPr>
          <w:rFonts w:ascii="Arial" w:hAnsi="Arial" w:cs="Arial"/>
          <w:color w:val="002060"/>
          <w:sz w:val="20"/>
          <w:szCs w:val="20"/>
        </w:rPr>
        <w:t>. However, unlike the global uncertainty seen in SZ, the MDD model’s top-down expectations became abnormally rigid. The learned internal prior precisions (</w:t>
      </w:r>
      <m:oMath>
        <m:sSub>
          <m:sSubPr>
            <m:ctrlPr>
              <w:rPr>
                <w:rFonts w:ascii="Cambria Math" w:hAnsi="Cambria Math" w:cs="Arial"/>
                <w:i/>
                <w:color w:val="002060"/>
                <w:sz w:val="20"/>
                <w:szCs w:val="20"/>
              </w:rPr>
            </m:ctrlPr>
          </m:sSubPr>
          <m:e>
            <m:r>
              <w:rPr>
                <w:rFonts w:ascii="Cambria Math" w:hAnsi="Cambria Math" w:cs="Arial"/>
                <w:color w:val="002060"/>
                <w:sz w:val="20"/>
                <w:szCs w:val="20"/>
              </w:rPr>
              <m:t>W</m:t>
            </m:r>
          </m:e>
          <m:sub>
            <m:r>
              <w:rPr>
                <w:rFonts w:ascii="Cambria Math" w:hAnsi="Cambria Math" w:cs="Arial"/>
                <w:color w:val="002060"/>
                <w:sz w:val="20"/>
                <w:szCs w:val="20"/>
              </w:rPr>
              <m:t>1</m:t>
            </m:r>
          </m:sub>
        </m:sSub>
      </m:oMath>
      <w:r w:rsidRPr="00935F73">
        <w:rPr>
          <w:rFonts w:ascii="Arial" w:hAnsi="Arial" w:cs="Arial"/>
          <w:color w:val="002060"/>
          <w:sz w:val="20"/>
          <w:szCs w:val="20"/>
        </w:rPr>
        <w:t>) was significantly increased in the MDD model for both unimodal (</w:t>
      </w:r>
      <m:oMath>
        <m:sSub>
          <m:sSubPr>
            <m:ctrlPr>
              <w:rPr>
                <w:rFonts w:ascii="Cambria Math" w:hAnsi="Cambria Math" w:cs="Arial"/>
                <w:i/>
                <w:color w:val="002060"/>
                <w:sz w:val="20"/>
                <w:szCs w:val="20"/>
              </w:rPr>
            </m:ctrlPr>
          </m:sSubPr>
          <m:e>
            <m:r>
              <w:rPr>
                <w:rFonts w:ascii="Cambria Math" w:hAnsi="Cambria Math" w:cs="Arial"/>
                <w:color w:val="002060"/>
                <w:sz w:val="20"/>
                <w:szCs w:val="20"/>
              </w:rPr>
              <m:t>W</m:t>
            </m:r>
          </m:e>
          <m:sub>
            <m:r>
              <w:rPr>
                <w:rFonts w:ascii="Cambria Math" w:hAnsi="Cambria Math" w:cs="Arial"/>
                <w:color w:val="002060"/>
                <w:sz w:val="20"/>
                <w:szCs w:val="20"/>
              </w:rPr>
              <m:t>1</m:t>
            </m:r>
          </m:sub>
        </m:sSub>
      </m:oMath>
      <w:r w:rsidRPr="00935F73">
        <w:rPr>
          <w:rFonts w:ascii="Arial" w:hAnsi="Arial" w:cs="Arial"/>
          <w:color w:val="002060"/>
          <w:sz w:val="20"/>
          <w:szCs w:val="20"/>
        </w:rPr>
        <w:t xml:space="preserve">; </w:t>
      </w:r>
      <m:oMath>
        <m:r>
          <w:rPr>
            <w:rFonts w:ascii="Cambria Math" w:hAnsi="Cambria Math" w:cs="Arial"/>
            <w:color w:val="002060"/>
            <w:sz w:val="20"/>
            <w:szCs w:val="20"/>
          </w:rPr>
          <m:t>Mdn = 10.831, IQR = 1.962 vs. True Mdn = 8.714, IQR = 0.042; Z = -7.800, p &lt; .001, r = 0.605</m:t>
        </m:r>
      </m:oMath>
      <w:r w:rsidRPr="00935F73">
        <w:rPr>
          <w:rFonts w:ascii="Arial" w:hAnsi="Arial" w:cs="Arial"/>
          <w:color w:val="002060"/>
          <w:sz w:val="20"/>
          <w:szCs w:val="20"/>
        </w:rPr>
        <w:t>) and transmodal level (</w:t>
      </w:r>
      <m:oMath>
        <m:sSub>
          <m:sSubPr>
            <m:ctrlPr>
              <w:rPr>
                <w:rFonts w:ascii="Cambria Math" w:hAnsi="Cambria Math" w:cs="Arial"/>
                <w:i/>
                <w:color w:val="002060"/>
                <w:sz w:val="20"/>
                <w:szCs w:val="20"/>
              </w:rPr>
            </m:ctrlPr>
          </m:sSubPr>
          <m:e>
            <m:r>
              <w:rPr>
                <w:rFonts w:ascii="Cambria Math" w:hAnsi="Cambria Math" w:cs="Arial"/>
                <w:color w:val="002060"/>
                <w:sz w:val="20"/>
                <w:szCs w:val="20"/>
              </w:rPr>
              <m:t>W</m:t>
            </m:r>
          </m:e>
          <m:sub>
            <m:r>
              <w:rPr>
                <w:rFonts w:ascii="Cambria Math" w:hAnsi="Cambria Math" w:cs="Arial"/>
                <w:color w:val="002060"/>
                <w:sz w:val="20"/>
                <w:szCs w:val="20"/>
              </w:rPr>
              <m:t>2</m:t>
            </m:r>
          </m:sub>
        </m:sSub>
      </m:oMath>
      <w:r w:rsidRPr="00935F73">
        <w:rPr>
          <w:rFonts w:ascii="Arial" w:hAnsi="Arial" w:cs="Arial"/>
          <w:color w:val="002060"/>
          <w:sz w:val="20"/>
          <w:szCs w:val="20"/>
        </w:rPr>
        <w:t xml:space="preserve">; </w:t>
      </w:r>
      <m:oMath>
        <m:r>
          <w:rPr>
            <w:rFonts w:ascii="Cambria Math" w:hAnsi="Cambria Math" w:cs="Arial"/>
            <w:color w:val="002060"/>
            <w:sz w:val="20"/>
            <w:szCs w:val="20"/>
          </w:rPr>
          <m:t>Mdn = 7.890, IQR = 0.028 vs. HC Mdn = 9.006, IQR = 0.740; Z = -7.913, p &lt; .001, r = 0.614</m:t>
        </m:r>
      </m:oMath>
      <w:r w:rsidRPr="00935F73">
        <w:rPr>
          <w:rFonts w:ascii="Arial" w:hAnsi="Arial" w:cs="Arial"/>
          <w:color w:val="002060"/>
          <w:sz w:val="20"/>
          <w:szCs w:val="20"/>
        </w:rPr>
        <w:t>). Crucially, this rigidity was accompanied by a significant up-regulation of transmodal sensory precision (</w:t>
      </w:r>
      <m:oMath>
        <m:sSub>
          <m:sSubPr>
            <m:ctrlPr>
              <w:rPr>
                <w:rFonts w:ascii="Cambria Math" w:hAnsi="Cambria Math" w:cs="Arial"/>
                <w:i/>
                <w:color w:val="002060"/>
                <w:sz w:val="20"/>
                <w:szCs w:val="20"/>
              </w:rPr>
            </m:ctrlPr>
          </m:sSubPr>
          <m:e>
            <m:r>
              <w:rPr>
                <w:rFonts w:ascii="Cambria Math" w:hAnsi="Cambria Math" w:cs="Arial"/>
                <w:color w:val="002060"/>
                <w:sz w:val="20"/>
                <w:szCs w:val="20"/>
              </w:rPr>
              <m:t>V</m:t>
            </m:r>
          </m:e>
          <m:sub>
            <m:r>
              <w:rPr>
                <w:rFonts w:ascii="Cambria Math" w:hAnsi="Cambria Math" w:cs="Arial"/>
                <w:color w:val="002060"/>
                <w:sz w:val="20"/>
                <w:szCs w:val="20"/>
              </w:rPr>
              <m:t>2</m:t>
            </m:r>
          </m:sub>
        </m:sSub>
      </m:oMath>
      <w:r w:rsidRPr="00935F73">
        <w:rPr>
          <w:rFonts w:ascii="Arial" w:hAnsi="Arial" w:cs="Arial"/>
          <w:color w:val="002060"/>
          <w:sz w:val="20"/>
          <w:szCs w:val="20"/>
        </w:rPr>
        <w:t>), which governs the weight afforded to ascending signals from the unimodal layer (</w:t>
      </w:r>
      <m:oMath>
        <m:r>
          <w:rPr>
            <w:rFonts w:ascii="Cambria Math" w:hAnsi="Cambria Math" w:cs="Arial"/>
            <w:color w:val="002060"/>
            <w:sz w:val="20"/>
            <w:szCs w:val="20"/>
          </w:rPr>
          <m:t>MDD Mdn = 4.536, IQR = 0.716 vs. True Mdn = 1.444, IQR = 0.861; Z = -7.913, p &lt; .001, r = 0.614</m:t>
        </m:r>
      </m:oMath>
      <w:r w:rsidRPr="00935F73">
        <w:rPr>
          <w:rFonts w:ascii="Arial" w:hAnsi="Arial" w:cs="Arial"/>
          <w:color w:val="002060"/>
          <w:sz w:val="20"/>
          <w:szCs w:val="20"/>
        </w:rPr>
        <w:t xml:space="preserve">) (See </w:t>
      </w:r>
      <w:r w:rsidRPr="00935F73">
        <w:rPr>
          <w:rFonts w:ascii="Arial" w:hAnsi="Arial" w:cs="Arial"/>
          <w:color w:val="002060"/>
          <w:sz w:val="20"/>
          <w:szCs w:val="20"/>
        </w:rPr>
        <w:fldChar w:fldCharType="begin"/>
      </w:r>
      <w:r w:rsidRPr="00935F73">
        <w:rPr>
          <w:rFonts w:ascii="Arial" w:hAnsi="Arial" w:cs="Arial"/>
          <w:color w:val="002060"/>
          <w:sz w:val="20"/>
          <w:szCs w:val="20"/>
        </w:rPr>
        <w:instrText xml:space="preserve"> REF _Ref230640724 \h </w:instrText>
      </w:r>
      <w:r w:rsidR="00D10EA2" w:rsidRPr="00935F73">
        <w:rPr>
          <w:rFonts w:ascii="Arial" w:hAnsi="Arial" w:cs="Arial"/>
          <w:color w:val="002060"/>
          <w:sz w:val="20"/>
          <w:szCs w:val="20"/>
        </w:rPr>
        <w:instrText xml:space="preserve"> \* MERGEFORMAT </w:instrText>
      </w:r>
      <w:r w:rsidRPr="00935F73">
        <w:rPr>
          <w:rFonts w:ascii="Arial" w:hAnsi="Arial" w:cs="Arial"/>
          <w:color w:val="002060"/>
          <w:sz w:val="20"/>
          <w:szCs w:val="20"/>
        </w:rPr>
      </w:r>
      <w:r w:rsidRPr="00935F73">
        <w:rPr>
          <w:rFonts w:ascii="Arial" w:hAnsi="Arial" w:cs="Arial"/>
          <w:color w:val="002060"/>
          <w:sz w:val="20"/>
          <w:szCs w:val="20"/>
        </w:rPr>
        <w:fldChar w:fldCharType="separate"/>
      </w:r>
      <w:r w:rsidRPr="00935F73">
        <w:rPr>
          <w:rFonts w:ascii="Arial" w:hAnsi="Arial" w:cs="Arial"/>
          <w:color w:val="002060"/>
          <w:sz w:val="20"/>
          <w:szCs w:val="20"/>
        </w:rPr>
        <w:t xml:space="preserve">Figure </w:t>
      </w:r>
      <w:r w:rsidRPr="00935F73">
        <w:rPr>
          <w:rFonts w:ascii="Arial" w:hAnsi="Arial" w:cs="Arial"/>
          <w:noProof/>
          <w:color w:val="002060"/>
          <w:sz w:val="20"/>
          <w:szCs w:val="20"/>
        </w:rPr>
        <w:t>6</w:t>
      </w:r>
      <w:r w:rsidRPr="00935F73">
        <w:rPr>
          <w:rFonts w:ascii="Arial" w:hAnsi="Arial" w:cs="Arial"/>
          <w:color w:val="002060"/>
          <w:sz w:val="20"/>
          <w:szCs w:val="20"/>
        </w:rPr>
        <w:fldChar w:fldCharType="end"/>
      </w:r>
      <w:r w:rsidRPr="00935F73">
        <w:rPr>
          <w:rFonts w:ascii="Arial" w:hAnsi="Arial" w:cs="Arial"/>
          <w:color w:val="002060"/>
          <w:sz w:val="20"/>
          <w:szCs w:val="20"/>
        </w:rPr>
        <w:t xml:space="preserve">c). </w:t>
      </w:r>
      <w:r w:rsidR="003E3ADE" w:rsidRPr="00935F73">
        <w:rPr>
          <w:rFonts w:ascii="Arial" w:hAnsi="Arial" w:cs="Arial"/>
          <w:color w:val="002060"/>
          <w:sz w:val="20"/>
          <w:szCs w:val="20"/>
        </w:rPr>
        <w:t>”</w:t>
      </w:r>
      <w:r w:rsidR="00D918DF" w:rsidRPr="00935F73">
        <w:rPr>
          <w:rFonts w:ascii="Arial" w:hAnsi="Arial" w:cs="Arial"/>
          <w:color w:val="002060"/>
          <w:sz w:val="20"/>
          <w:szCs w:val="20"/>
        </w:rPr>
        <w:t xml:space="preserve">  </w:t>
      </w:r>
      <w:r w:rsidR="00867345" w:rsidRPr="00935F73">
        <w:rPr>
          <w:rFonts w:ascii="Arial" w:hAnsi="Arial" w:cs="Arial"/>
          <w:color w:val="002060"/>
          <w:sz w:val="20"/>
          <w:szCs w:val="20"/>
        </w:rPr>
        <w:t xml:space="preserve">(Depression – Simulation Results - </w:t>
      </w:r>
      <w:r w:rsidR="003E3ADE" w:rsidRPr="00935F73">
        <w:rPr>
          <w:rFonts w:ascii="Arial" w:hAnsi="Arial" w:cs="Arial"/>
          <w:color w:val="002060"/>
          <w:sz w:val="20"/>
          <w:szCs w:val="20"/>
        </w:rPr>
        <w:t>Hierarchical Alterations in Prediction Error and Intrinsic Neural Timescales</w:t>
      </w:r>
      <w:r w:rsidR="007E0F5B" w:rsidRPr="00935F73">
        <w:rPr>
          <w:rFonts w:ascii="Arial" w:hAnsi="Arial" w:cs="Arial"/>
          <w:color w:val="002060"/>
          <w:sz w:val="20"/>
          <w:szCs w:val="20"/>
        </w:rPr>
        <w:t>, Lines 716</w:t>
      </w:r>
      <w:r w:rsidR="00923209" w:rsidRPr="00935F73">
        <w:rPr>
          <w:rFonts w:ascii="Arial" w:hAnsi="Arial" w:cs="Arial"/>
          <w:color w:val="002060"/>
          <w:sz w:val="20"/>
          <w:szCs w:val="20"/>
        </w:rPr>
        <w:t>-725</w:t>
      </w:r>
      <w:r w:rsidR="003E3ADE" w:rsidRPr="00935F73">
        <w:rPr>
          <w:rFonts w:ascii="Arial" w:hAnsi="Arial" w:cs="Arial"/>
          <w:color w:val="002060"/>
          <w:sz w:val="20"/>
          <w:szCs w:val="20"/>
        </w:rPr>
        <w:t>)</w:t>
      </w:r>
    </w:p>
    <w:p w14:paraId="4B4A305F" w14:textId="77777777" w:rsidR="00F933D7" w:rsidRDefault="00F933D7" w:rsidP="00F933D7">
      <w:pPr>
        <w:pStyle w:val="ListParagraph"/>
        <w:spacing w:line="360" w:lineRule="auto"/>
        <w:rPr>
          <w:rFonts w:ascii="Arial" w:hAnsi="Arial" w:cs="Arial"/>
          <w:color w:val="0070C0"/>
        </w:rPr>
      </w:pPr>
    </w:p>
    <w:p w14:paraId="31E1CA35" w14:textId="175FF6BC" w:rsidR="0096483D" w:rsidRDefault="0096483D" w:rsidP="0096483D">
      <w:pPr>
        <w:spacing w:line="360" w:lineRule="auto"/>
        <w:rPr>
          <w:rFonts w:ascii="Arial" w:hAnsi="Arial" w:cs="Arial"/>
          <w:i/>
          <w:iCs/>
        </w:rPr>
      </w:pPr>
      <w:r w:rsidRPr="00C25943">
        <w:rPr>
          <w:rFonts w:ascii="Arial" w:hAnsi="Arial" w:cs="Arial"/>
          <w:b/>
          <w:bCs/>
        </w:rPr>
        <w:lastRenderedPageBreak/>
        <w:t>Comment 4:</w:t>
      </w:r>
      <w:r w:rsidRPr="0096483D">
        <w:rPr>
          <w:rFonts w:ascii="Arial" w:hAnsi="Arial" w:cs="Arial"/>
        </w:rPr>
        <w:t xml:space="preserve"> </w:t>
      </w:r>
      <w:r w:rsidRPr="0096483D">
        <w:rPr>
          <w:rFonts w:ascii="Arial" w:hAnsi="Arial" w:cs="Arial"/>
          <w:i/>
          <w:iCs/>
        </w:rPr>
        <w:t>“I wouldn't say the brain's intrinsic neural timescales are quantified by the ITPC? Surely that measures resetting/coordination, not INT?”</w:t>
      </w:r>
    </w:p>
    <w:p w14:paraId="631E0883" w14:textId="77777777" w:rsidR="00A32E66" w:rsidRPr="00935F73" w:rsidRDefault="00C25943" w:rsidP="00A32E66">
      <w:pPr>
        <w:spacing w:line="360" w:lineRule="auto"/>
        <w:rPr>
          <w:rFonts w:ascii="Arial" w:hAnsi="Arial" w:cs="Arial"/>
          <w:color w:val="002060"/>
        </w:rPr>
      </w:pPr>
      <w:r w:rsidRPr="00C25943">
        <w:rPr>
          <w:rFonts w:ascii="Arial" w:hAnsi="Arial" w:cs="Arial"/>
        </w:rPr>
        <w:t>Response 4: We thank reviewer that to point out vague sentence. We increased the clarity:</w:t>
      </w:r>
      <w:r w:rsidRPr="00A32E66">
        <w:rPr>
          <w:rFonts w:ascii="Arial" w:hAnsi="Arial" w:cs="Arial"/>
          <w:i/>
          <w:iCs/>
        </w:rPr>
        <w:br/>
      </w:r>
    </w:p>
    <w:p w14:paraId="4907EA54" w14:textId="004516A7" w:rsidR="006E6358" w:rsidRPr="00935F73" w:rsidRDefault="00C25943" w:rsidP="006E6358">
      <w:pPr>
        <w:pStyle w:val="ListParagraph"/>
        <w:numPr>
          <w:ilvl w:val="0"/>
          <w:numId w:val="3"/>
        </w:numPr>
        <w:spacing w:line="360" w:lineRule="auto"/>
        <w:rPr>
          <w:rFonts w:ascii="Arial" w:hAnsi="Arial" w:cs="Arial"/>
          <w:color w:val="002060"/>
          <w:sz w:val="20"/>
          <w:szCs w:val="20"/>
        </w:rPr>
      </w:pPr>
      <w:r w:rsidRPr="00935F73">
        <w:rPr>
          <w:rFonts w:ascii="Arial" w:hAnsi="Arial" w:cs="Arial"/>
          <w:color w:val="002060"/>
          <w:sz w:val="20"/>
          <w:szCs w:val="20"/>
        </w:rPr>
        <w:t>“</w:t>
      </w:r>
      <w:r w:rsidR="00120660" w:rsidRPr="00935F73">
        <w:rPr>
          <w:rFonts w:ascii="Arial" w:hAnsi="Arial" w:cs="Arial"/>
          <w:color w:val="002060"/>
          <w:sz w:val="20"/>
          <w:szCs w:val="20"/>
        </w:rPr>
        <w:t>The ACW defines the duration of the temporal integration window, whereas its functional precision is governed by phase consistency. Consequently, metrics such as Inter-Trial Phase Coherence (ITPC) and the Phase-Locking Value (PLV) capture this precision by indexing how reliably neural excitability aligns across repeated stimulus instances(202).</w:t>
      </w:r>
      <w:r w:rsidRPr="00935F73">
        <w:rPr>
          <w:rFonts w:ascii="Arial" w:hAnsi="Arial" w:cs="Arial"/>
          <w:color w:val="002060"/>
          <w:sz w:val="20"/>
          <w:szCs w:val="20"/>
        </w:rPr>
        <w:t>”</w:t>
      </w:r>
      <w:r w:rsidR="00120660" w:rsidRPr="00935F73">
        <w:rPr>
          <w:rFonts w:ascii="Arial" w:hAnsi="Arial" w:cs="Arial"/>
          <w:color w:val="002060"/>
          <w:sz w:val="20"/>
          <w:szCs w:val="20"/>
        </w:rPr>
        <w:t xml:space="preserve"> (Lines </w:t>
      </w:r>
      <w:r w:rsidR="00D52FE3" w:rsidRPr="00935F73">
        <w:rPr>
          <w:rFonts w:ascii="Arial" w:hAnsi="Arial" w:cs="Arial"/>
          <w:color w:val="002060"/>
          <w:sz w:val="20"/>
          <w:szCs w:val="20"/>
        </w:rPr>
        <w:t>911-</w:t>
      </w:r>
      <w:r w:rsidR="003A6861" w:rsidRPr="00935F73">
        <w:rPr>
          <w:rFonts w:ascii="Arial" w:hAnsi="Arial" w:cs="Arial"/>
          <w:color w:val="002060"/>
          <w:sz w:val="20"/>
          <w:szCs w:val="20"/>
        </w:rPr>
        <w:t>914)</w:t>
      </w:r>
    </w:p>
    <w:p w14:paraId="43C791D9" w14:textId="109CC79E" w:rsidR="006E6358" w:rsidRPr="006E6358" w:rsidRDefault="006E6358" w:rsidP="006E6358">
      <w:pPr>
        <w:spacing w:line="360" w:lineRule="auto"/>
        <w:rPr>
          <w:rFonts w:ascii="Arial" w:hAnsi="Arial" w:cs="Arial"/>
        </w:rPr>
      </w:pPr>
      <w:r>
        <w:rPr>
          <w:rFonts w:ascii="Arial" w:hAnsi="Arial" w:cs="Arial"/>
        </w:rPr>
        <w:t xml:space="preserve">Comment 5: </w:t>
      </w:r>
      <w:r w:rsidRPr="006E6358">
        <w:rPr>
          <w:rFonts w:ascii="Arial" w:hAnsi="Arial" w:cs="Arial"/>
          <w:i/>
          <w:iCs/>
        </w:rPr>
        <w:t xml:space="preserve">“what evidence demonstrates that in depression, </w:t>
      </w:r>
      <w:r>
        <w:rPr>
          <w:rFonts w:ascii="Arial" w:hAnsi="Arial" w:cs="Arial"/>
          <w:i/>
          <w:iCs/>
        </w:rPr>
        <w:t>‘</w:t>
      </w:r>
      <w:r w:rsidRPr="006E6358">
        <w:rPr>
          <w:rFonts w:ascii="Arial" w:hAnsi="Arial" w:cs="Arial"/>
          <w:i/>
          <w:iCs/>
        </w:rPr>
        <w:t>abnormally slow dynamics originate in unimodal sensory regions (like the visual cortex) and subsequently propagate to higher order transmodal regions</w:t>
      </w:r>
      <w:r>
        <w:rPr>
          <w:rFonts w:ascii="Arial" w:hAnsi="Arial" w:cs="Arial"/>
          <w:i/>
          <w:iCs/>
        </w:rPr>
        <w:t>’</w:t>
      </w:r>
      <w:r w:rsidRPr="006E6358">
        <w:rPr>
          <w:rFonts w:ascii="Arial" w:hAnsi="Arial" w:cs="Arial"/>
          <w:i/>
          <w:iCs/>
        </w:rPr>
        <w:t>? If there isn't specific evidence for this longitudinal finding then it should be framed as a hypothesis.”</w:t>
      </w:r>
    </w:p>
    <w:p w14:paraId="4AEF90DA" w14:textId="5A619298" w:rsidR="00F933D7" w:rsidRPr="00E91F43" w:rsidRDefault="00E16297" w:rsidP="00E16297">
      <w:pPr>
        <w:spacing w:line="360" w:lineRule="auto"/>
        <w:rPr>
          <w:rFonts w:ascii="Arial" w:hAnsi="Arial" w:cs="Arial"/>
        </w:rPr>
      </w:pPr>
      <w:r w:rsidRPr="00E91F43">
        <w:rPr>
          <w:rFonts w:ascii="Arial" w:hAnsi="Arial" w:cs="Arial"/>
        </w:rPr>
        <w:t>Response 5: We thank reviewer for pointing that out. Since we did not specifically tested for that, we removed that lines</w:t>
      </w:r>
      <w:r w:rsidR="00627790">
        <w:rPr>
          <w:rFonts w:ascii="Arial" w:hAnsi="Arial" w:cs="Arial"/>
        </w:rPr>
        <w:t xml:space="preserve"> </w:t>
      </w:r>
      <w:r w:rsidR="00F50F6E">
        <w:rPr>
          <w:rFonts w:ascii="Arial" w:hAnsi="Arial" w:cs="Arial"/>
        </w:rPr>
        <w:t>and changed the paragraph</w:t>
      </w:r>
      <w:r w:rsidRPr="00E91F43">
        <w:rPr>
          <w:rFonts w:ascii="Arial" w:hAnsi="Arial" w:cs="Arial"/>
        </w:rPr>
        <w:t xml:space="preserve">: </w:t>
      </w:r>
    </w:p>
    <w:p w14:paraId="3D45B4CD" w14:textId="18F02063" w:rsidR="00E16297" w:rsidRPr="00935F73" w:rsidRDefault="00E16297" w:rsidP="00E91F43">
      <w:pPr>
        <w:pStyle w:val="ListParagraph"/>
        <w:numPr>
          <w:ilvl w:val="0"/>
          <w:numId w:val="3"/>
        </w:numPr>
        <w:spacing w:line="360" w:lineRule="auto"/>
        <w:rPr>
          <w:rFonts w:ascii="Arial" w:hAnsi="Arial" w:cs="Arial"/>
          <w:color w:val="002060"/>
          <w:sz w:val="20"/>
          <w:szCs w:val="20"/>
        </w:rPr>
      </w:pPr>
      <w:r w:rsidRPr="00935F73">
        <w:rPr>
          <w:rFonts w:ascii="Arial" w:hAnsi="Arial" w:cs="Arial"/>
          <w:color w:val="002060"/>
          <w:sz w:val="20"/>
          <w:szCs w:val="20"/>
        </w:rPr>
        <w:t>“</w:t>
      </w:r>
      <w:r w:rsidR="00627790" w:rsidRPr="00935F73">
        <w:rPr>
          <w:rFonts w:ascii="Arial" w:hAnsi="Arial" w:cs="Arial"/>
          <w:color w:val="002060"/>
          <w:sz w:val="20"/>
          <w:szCs w:val="20"/>
        </w:rPr>
        <w:t>Within our proposed spatiotemporal framework, we postulate that this widespread hierarchical neural slowing may be a primary driver of the internal-external prior imbalance observed in MDD. Because processing speed is physically instantiated by neural oscillatory frequencies, a globally prolonged ACW forces the brain to integrate different usually separate inputs over an abnormally extended temporal window. We theorize that this extended integration disrupts the brain’s fundamental ability to successfully differentiate fast rapid stimuli from slower ones (153). Consequently, the precise timing of fast environmental cues appears blurred. Such impaired early sensory processing could theoretically cascade forward, disrupting broader network communication and biasing the brain’s predictive architecture toward reinforcing slower, internally driven cognitive content (e.g., rumination). Global slowing may thus create a static, inefficient style of processing that severely constrains both perception and action. Ultimately, by integrating these computational and dynamic mechanisms —grounded in specific cellular shifts in E/I balance and monoaminergic tone (Box 2)— our framework proposes a re-interpretation of MDD: rather than viewing it exclusively as a primary affective or mood condition, we propose it could be conceptualized fundamentally as a “speed disorder”—a state where underlying spatiotemporal slowness drives the ensuing cascade of sensory, motor, cognitive, and affective symptoms(126) (See Figure 7)</w:t>
      </w:r>
      <w:r w:rsidRPr="00935F73">
        <w:rPr>
          <w:rFonts w:ascii="Arial" w:hAnsi="Arial" w:cs="Arial"/>
          <w:color w:val="002060"/>
          <w:sz w:val="20"/>
          <w:szCs w:val="20"/>
        </w:rPr>
        <w:t>.”</w:t>
      </w:r>
      <w:r w:rsidR="00E91F43" w:rsidRPr="00935F73">
        <w:rPr>
          <w:rFonts w:ascii="Arial" w:hAnsi="Arial" w:cs="Arial"/>
          <w:color w:val="002060"/>
          <w:sz w:val="20"/>
          <w:szCs w:val="20"/>
        </w:rPr>
        <w:t xml:space="preserve"> (Abnormal slowness on the neural level – Depression is a speed disorder rather than just a mood disorder)</w:t>
      </w:r>
    </w:p>
    <w:p w14:paraId="1C9165E9" w14:textId="42316146" w:rsidR="00887778" w:rsidRDefault="00887778" w:rsidP="00647149">
      <w:pPr>
        <w:pStyle w:val="Heading1"/>
      </w:pPr>
      <w:r>
        <w:lastRenderedPageBreak/>
        <w:t>Reviewer</w:t>
      </w:r>
      <w:r w:rsidR="00647149">
        <w:t xml:space="preserve"> 3</w:t>
      </w:r>
    </w:p>
    <w:p w14:paraId="3AA81AFE" w14:textId="3BC5B594" w:rsidR="00647149" w:rsidRDefault="008D7E75" w:rsidP="00647149">
      <w:r w:rsidRPr="00CF60F5">
        <w:rPr>
          <w:b/>
          <w:bCs/>
        </w:rPr>
        <w:t>Comment 1:</w:t>
      </w:r>
      <w:r>
        <w:t xml:space="preserve"> </w:t>
      </w:r>
      <w:r w:rsidR="00CF60F5" w:rsidRPr="00CF60F5">
        <w:rPr>
          <w:i/>
          <w:iCs/>
        </w:rPr>
        <w:t>“The main remaining issue concerns the strength of some causal formulations. In several places, the manuscript moves from neural dynamics (e.g., temporal imprecision or slowness) to complex clinical and phenomenological outcomes in terms that read as direct causal claims. While these links are plausible and theoretically well motivated, they are more appropriately framed as mechanistic hypotheses or interpretative extensions. Moderating formulations (e.g., replacing “results in” with “may contribute to” or “is consistent with”) would improve conceptual precision without weakening the overall argument.”</w:t>
      </w:r>
    </w:p>
    <w:p w14:paraId="57878FA7" w14:textId="3B50552B" w:rsidR="00F8302A" w:rsidRDefault="00D51C52" w:rsidP="00647149">
      <w:r>
        <w:t>Response</w:t>
      </w:r>
      <w:r w:rsidR="001973DF">
        <w:t xml:space="preserve"> 1:</w:t>
      </w:r>
      <w:r w:rsidR="000F26EE">
        <w:t xml:space="preserve"> </w:t>
      </w:r>
      <w:r w:rsidR="00C655F1">
        <w:t xml:space="preserve">We appreciate the reviewer for pointing that out. We </w:t>
      </w:r>
      <w:r w:rsidR="0029533A">
        <w:t>moderated the formulation</w:t>
      </w:r>
      <w:r w:rsidR="00422AB0">
        <w:t xml:space="preserve">s for linking </w:t>
      </w:r>
      <w:r w:rsidR="00FE3AA1">
        <w:t xml:space="preserve">disruptions to </w:t>
      </w:r>
      <w:r w:rsidR="00F8302A">
        <w:t>clinical symptoms</w:t>
      </w:r>
      <w:r w:rsidR="008E236F">
        <w:t xml:space="preserve"> in overall of the </w:t>
      </w:r>
      <w:r w:rsidR="00E36CD3">
        <w:t>manuscript</w:t>
      </w:r>
      <w:r w:rsidR="00F8302A">
        <w:t>.</w:t>
      </w:r>
    </w:p>
    <w:p w14:paraId="62CEE25D" w14:textId="6E32D94E" w:rsidR="001973DF" w:rsidRPr="00935F73" w:rsidRDefault="00F8302A" w:rsidP="00D23FA3">
      <w:pPr>
        <w:pStyle w:val="ListParagraph"/>
        <w:numPr>
          <w:ilvl w:val="0"/>
          <w:numId w:val="3"/>
        </w:numPr>
        <w:spacing w:line="360" w:lineRule="auto"/>
        <w:rPr>
          <w:rFonts w:ascii="Arial" w:hAnsi="Arial" w:cs="Arial"/>
          <w:color w:val="002060"/>
          <w:sz w:val="20"/>
          <w:szCs w:val="20"/>
        </w:rPr>
      </w:pPr>
      <w:r w:rsidRPr="00935F73">
        <w:rPr>
          <w:rFonts w:ascii="Arial" w:hAnsi="Arial" w:cs="Arial"/>
          <w:color w:val="002060"/>
          <w:sz w:val="20"/>
          <w:szCs w:val="20"/>
        </w:rPr>
        <w:t xml:space="preserve">“… </w:t>
      </w:r>
      <w:r w:rsidR="00D87599" w:rsidRPr="00935F73">
        <w:rPr>
          <w:rFonts w:ascii="Arial" w:hAnsi="Arial" w:cs="Arial"/>
          <w:color w:val="002060"/>
          <w:sz w:val="20"/>
          <w:szCs w:val="20"/>
        </w:rPr>
        <w:t>This detachment, in turn, may disrupt the subjects’ sense of agency, ownership, and reality monitoring, contributing to delusions, hallucinations, and the basic disturbance of the self(75)</w:t>
      </w:r>
      <w:r w:rsidRPr="00935F73">
        <w:rPr>
          <w:rFonts w:ascii="Arial" w:hAnsi="Arial" w:cs="Arial"/>
          <w:color w:val="002060"/>
          <w:sz w:val="20"/>
          <w:szCs w:val="20"/>
        </w:rPr>
        <w:t>”</w:t>
      </w:r>
      <w:r w:rsidR="006971DB" w:rsidRPr="00935F73">
        <w:rPr>
          <w:rFonts w:ascii="Arial" w:hAnsi="Arial" w:cs="Arial"/>
          <w:color w:val="002060"/>
          <w:sz w:val="20"/>
          <w:szCs w:val="20"/>
        </w:rPr>
        <w:t xml:space="preserve"> (Discussion: Schizophrenia, lines </w:t>
      </w:r>
      <w:r w:rsidR="00C31F55" w:rsidRPr="00935F73">
        <w:rPr>
          <w:rFonts w:ascii="Arial" w:hAnsi="Arial" w:cs="Arial"/>
          <w:color w:val="002060"/>
          <w:sz w:val="20"/>
          <w:szCs w:val="20"/>
        </w:rPr>
        <w:t>525</w:t>
      </w:r>
      <w:r w:rsidR="006279C6" w:rsidRPr="00935F73">
        <w:rPr>
          <w:rFonts w:ascii="Arial" w:hAnsi="Arial" w:cs="Arial"/>
          <w:color w:val="002060"/>
          <w:sz w:val="20"/>
          <w:szCs w:val="20"/>
        </w:rPr>
        <w:t>-</w:t>
      </w:r>
      <w:r w:rsidR="000033C2" w:rsidRPr="00935F73">
        <w:rPr>
          <w:rFonts w:ascii="Arial" w:hAnsi="Arial" w:cs="Arial"/>
          <w:color w:val="002060"/>
          <w:sz w:val="20"/>
          <w:szCs w:val="20"/>
        </w:rPr>
        <w:t>527</w:t>
      </w:r>
      <w:r w:rsidR="006279C6" w:rsidRPr="00935F73">
        <w:rPr>
          <w:rFonts w:ascii="Arial" w:hAnsi="Arial" w:cs="Arial"/>
          <w:color w:val="002060"/>
          <w:sz w:val="20"/>
          <w:szCs w:val="20"/>
        </w:rPr>
        <w:t>)</w:t>
      </w:r>
    </w:p>
    <w:p w14:paraId="5BC3545B" w14:textId="15DC0D79" w:rsidR="006279C6" w:rsidRPr="00935F73" w:rsidRDefault="00CB0952" w:rsidP="00D23FA3">
      <w:pPr>
        <w:pStyle w:val="ListParagraph"/>
        <w:numPr>
          <w:ilvl w:val="0"/>
          <w:numId w:val="3"/>
        </w:numPr>
        <w:spacing w:line="360" w:lineRule="auto"/>
        <w:rPr>
          <w:rFonts w:ascii="Arial" w:hAnsi="Arial" w:cs="Arial"/>
          <w:color w:val="002060"/>
          <w:sz w:val="20"/>
          <w:szCs w:val="20"/>
        </w:rPr>
      </w:pPr>
      <w:r w:rsidRPr="00935F73">
        <w:rPr>
          <w:rFonts w:ascii="Arial" w:hAnsi="Arial" w:cs="Arial"/>
          <w:color w:val="002060"/>
          <w:sz w:val="20"/>
          <w:szCs w:val="20"/>
        </w:rPr>
        <w:t xml:space="preserve">This dwelling restricts the brain to a narrow, repetitive pattern of activity, which computationally operates as a rigid, high-precision internal prior (low entropy) that resists being updated by new external information. Thus, we consider abnormal slowness a strong candidate for a basic generative disturbance in MDD which can underly and might connect its neuronal, computational, psychological and phenomenological abnormalities – this is reflected in its recent characterization as speed disorder, rather than just as mood disorder(126). </w:t>
      </w:r>
      <w:r w:rsidR="008E236F" w:rsidRPr="00935F73">
        <w:rPr>
          <w:rFonts w:ascii="Arial" w:hAnsi="Arial" w:cs="Arial"/>
          <w:color w:val="002060"/>
          <w:sz w:val="20"/>
          <w:szCs w:val="20"/>
        </w:rPr>
        <w:t>(</w:t>
      </w:r>
      <w:r w:rsidR="00335679" w:rsidRPr="00935F73">
        <w:rPr>
          <w:rFonts w:ascii="Arial" w:hAnsi="Arial" w:cs="Arial"/>
          <w:color w:val="002060"/>
          <w:sz w:val="20"/>
          <w:szCs w:val="20"/>
        </w:rPr>
        <w:t xml:space="preserve">lines </w:t>
      </w:r>
      <w:r w:rsidR="00485858" w:rsidRPr="00935F73">
        <w:rPr>
          <w:rFonts w:ascii="Arial" w:hAnsi="Arial" w:cs="Arial"/>
          <w:color w:val="002060"/>
          <w:sz w:val="20"/>
          <w:szCs w:val="20"/>
        </w:rPr>
        <w:t>800</w:t>
      </w:r>
      <w:r w:rsidR="00833C4D" w:rsidRPr="00935F73">
        <w:rPr>
          <w:rFonts w:ascii="Arial" w:hAnsi="Arial" w:cs="Arial"/>
          <w:color w:val="002060"/>
          <w:sz w:val="20"/>
          <w:szCs w:val="20"/>
        </w:rPr>
        <w:t>-</w:t>
      </w:r>
      <w:r w:rsidR="00485858" w:rsidRPr="00935F73">
        <w:rPr>
          <w:rFonts w:ascii="Arial" w:hAnsi="Arial" w:cs="Arial"/>
          <w:color w:val="002060"/>
          <w:sz w:val="20"/>
          <w:szCs w:val="20"/>
        </w:rPr>
        <w:t>804</w:t>
      </w:r>
      <w:r w:rsidR="00833C4D" w:rsidRPr="00935F73">
        <w:rPr>
          <w:rFonts w:ascii="Arial" w:hAnsi="Arial" w:cs="Arial"/>
          <w:color w:val="002060"/>
          <w:sz w:val="20"/>
          <w:szCs w:val="20"/>
        </w:rPr>
        <w:t>)</w:t>
      </w:r>
    </w:p>
    <w:p w14:paraId="0323274A" w14:textId="77777777" w:rsidR="00696F4D" w:rsidRDefault="00696F4D" w:rsidP="009D05E9">
      <w:pPr>
        <w:pStyle w:val="ListParagraph"/>
        <w:rPr>
          <w:color w:val="0070C0"/>
        </w:rPr>
      </w:pPr>
    </w:p>
    <w:p w14:paraId="1D64F5C2" w14:textId="7A235892" w:rsidR="00696F4D" w:rsidRDefault="00696F4D" w:rsidP="00696F4D">
      <w:r w:rsidRPr="00E62D3B">
        <w:rPr>
          <w:b/>
          <w:bCs/>
        </w:rPr>
        <w:t>Comment 2:</w:t>
      </w:r>
      <w:r w:rsidRPr="00696F4D">
        <w:t xml:space="preserve"> </w:t>
      </w:r>
      <w:r w:rsidRPr="00E62D3B">
        <w:rPr>
          <w:i/>
          <w:iCs/>
        </w:rPr>
        <w:t xml:space="preserve">“Relatedly, the manuscript would benefit from a clearer distinction between empirical findings, model-based results, and interpretative claims. These levels are well integrated but occasionally presented but minor adjustments in phrasing (e.g., </w:t>
      </w:r>
      <w:r w:rsidR="00245708" w:rsidRPr="00E62D3B">
        <w:rPr>
          <w:i/>
          <w:iCs/>
        </w:rPr>
        <w:t>‘</w:t>
      </w:r>
      <w:r w:rsidRPr="00E62D3B">
        <w:rPr>
          <w:i/>
          <w:iCs/>
        </w:rPr>
        <w:t>based on our model</w:t>
      </w:r>
      <w:r w:rsidR="00245708" w:rsidRPr="00E62D3B">
        <w:rPr>
          <w:i/>
          <w:iCs/>
        </w:rPr>
        <w:t>’</w:t>
      </w:r>
      <w:r w:rsidRPr="00E62D3B">
        <w:rPr>
          <w:i/>
          <w:iCs/>
        </w:rPr>
        <w:t>, “we hypothesize that”) would help clarify this.”</w:t>
      </w:r>
    </w:p>
    <w:p w14:paraId="4D1CA46E" w14:textId="6A63EA8B" w:rsidR="003209E8" w:rsidRDefault="003209E8" w:rsidP="00696F4D">
      <w:r>
        <w:t xml:space="preserve">Response 2: We </w:t>
      </w:r>
      <w:r w:rsidR="001A672D">
        <w:t xml:space="preserve">thank reviewer for that comment. We included those </w:t>
      </w:r>
      <w:r w:rsidR="00A44668">
        <w:t xml:space="preserve">links </w:t>
      </w:r>
      <w:r w:rsidR="003E4DE9">
        <w:t xml:space="preserve">throughout </w:t>
      </w:r>
      <w:r w:rsidR="00BD4EBC">
        <w:t xml:space="preserve">the manuscript to make points clearer for the reader. </w:t>
      </w:r>
    </w:p>
    <w:p w14:paraId="6F6A02A7" w14:textId="77777777" w:rsidR="008C1568" w:rsidRDefault="008C1568" w:rsidP="00696F4D">
      <w:pPr>
        <w:rPr>
          <w:b/>
          <w:bCs/>
        </w:rPr>
      </w:pPr>
    </w:p>
    <w:p w14:paraId="06266305" w14:textId="2FF89B49" w:rsidR="00E62D3B" w:rsidRPr="00E62D3B" w:rsidRDefault="00E62D3B" w:rsidP="00696F4D">
      <w:pPr>
        <w:rPr>
          <w:b/>
          <w:bCs/>
        </w:rPr>
      </w:pPr>
      <w:r w:rsidRPr="00E62D3B">
        <w:rPr>
          <w:b/>
          <w:bCs/>
        </w:rPr>
        <w:t xml:space="preserve">Comment 3: </w:t>
      </w:r>
      <w:r w:rsidR="00977ADA" w:rsidRPr="00977ADA">
        <w:t>“The addition of biological sections and Boxes is a clear strength. However, these sections could be slightly streamlined as some passages lean toward more interpretative or narrative formulations. A modest reduction and tightening would enhance both readability and robustness.”</w:t>
      </w:r>
    </w:p>
    <w:p w14:paraId="5F949591" w14:textId="62B96C44" w:rsidR="00E62D3B" w:rsidRDefault="008C1568" w:rsidP="00696F4D">
      <w:r>
        <w:lastRenderedPageBreak/>
        <w:t xml:space="preserve">Response 3: </w:t>
      </w:r>
      <w:r w:rsidR="00FF0399">
        <w:t xml:space="preserve">We </w:t>
      </w:r>
      <w:r w:rsidR="00383706">
        <w:t xml:space="preserve">have increase the readability </w:t>
      </w:r>
      <w:r w:rsidR="008A5089">
        <w:t xml:space="preserve">and made those passages more </w:t>
      </w:r>
      <w:r w:rsidR="002D7974">
        <w:t>concise, also following the Comment 2 above</w:t>
      </w:r>
      <w:r w:rsidR="00B97C77">
        <w:t xml:space="preserve">. We have put all the biological </w:t>
      </w:r>
      <w:r w:rsidR="00E22059">
        <w:t>possible links to those boxes with tightening the both content and the language</w:t>
      </w:r>
      <w:r w:rsidR="002D7974">
        <w:t>:</w:t>
      </w:r>
    </w:p>
    <w:p w14:paraId="1FCAE23E" w14:textId="77777777" w:rsidR="00602384" w:rsidRDefault="00602384" w:rsidP="00602384">
      <w:pPr>
        <w:pStyle w:val="Body"/>
        <w:spacing w:line="480" w:lineRule="auto"/>
        <w:jc w:val="both"/>
        <w:rPr>
          <w:rFonts w:ascii="Helvetica Neue" w:hAnsi="Helvetica Neue"/>
          <w:sz w:val="20"/>
          <w:szCs w:val="20"/>
        </w:rPr>
      </w:pPr>
    </w:p>
    <w:p w14:paraId="455630A7" w14:textId="77777777" w:rsidR="00602384" w:rsidRDefault="00602384" w:rsidP="00602384">
      <w:pPr>
        <w:pStyle w:val="MPHeader2"/>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pPr>
      <w:r w:rsidRPr="00AE5D24">
        <w:t>Box 1 | Neurobiological Mechanisms of Temporal Imprecision: Glutamate, Dopamine, and Cannabinoids in Psychosis</w:t>
      </w:r>
    </w:p>
    <w:p w14:paraId="16953F20" w14:textId="77777777" w:rsidR="00602384"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Pr>
          <w:rFonts w:ascii="Helvetica Neue" w:hAnsi="Helvetica Neue"/>
          <w:sz w:val="20"/>
          <w:szCs w:val="20"/>
        </w:rPr>
        <w:t>According to our framework, t</w:t>
      </w:r>
      <w:r w:rsidRPr="00944FA2">
        <w:rPr>
          <w:rFonts w:ascii="Helvetica Neue" w:hAnsi="Helvetica Neue"/>
          <w:sz w:val="20"/>
          <w:szCs w:val="20"/>
        </w:rPr>
        <w:t>emporal imprecision in schizophrenia is associated with impaired gamma-band synchron</w:t>
      </w:r>
      <w:r>
        <w:rPr>
          <w:rFonts w:ascii="Helvetica Neue" w:hAnsi="Helvetica Neue"/>
          <w:sz w:val="20"/>
          <w:szCs w:val="20"/>
        </w:rPr>
        <w:t xml:space="preserve">y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NW92mkSR","properties":{"formattedCitation":"(90)","plainCitation":"(90)","noteIndex":0},"citationItems":[{"id":5447,"uris":["http://zotero.org/users/9264269/items/URH4U3GF"],"itemData":{"id":5447,"type":"article-journal","container-title":"Neuropharmacology","DOI":"10.1016/j.neuropharm.2011.02.007","ISSN":"00283908","issue":"3","journalAbbreviation":"Neuropharmacology","language":"en","license":"https://www.elsevier.com/tdm/userlicense/1.0/","page":"1504-1518","source":"DOI.org (Crossref)","title":"Gamma synchrony: Towards a translational biomarker for the treatment-resistant symptoms of schizophrenia","title-short":"Gamma synchrony","volume":"62","author":[{"family":"Gandal","given":"Michael J."},{"family":"Edgar","given":"J. Christopher"},{"family":"Klook","given":"Kerstin"},{"family":"Siegel","given":"Steven J."}],"issued":{"date-parts":[["2012",3]]}}}],"schema":"https://github.com/citation-style-language/schema/raw/master/csl-citation.json"}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(90)</w:t>
      </w:r>
      <w:r>
        <w:rPr>
          <w:rFonts w:ascii="Helvetica Neue" w:hAnsi="Helvetica Neue"/>
          <w:sz w:val="20"/>
          <w:szCs w:val="20"/>
        </w:rPr>
        <w:fldChar w:fldCharType="end"/>
      </w:r>
      <w:r w:rsidRPr="0031619C">
        <w:rPr>
          <w:rFonts w:ascii="Helvetica Neue" w:hAnsi="Helvetica Neue"/>
          <w:color w:val="C00000"/>
          <w:sz w:val="20"/>
          <w:szCs w:val="20"/>
        </w:rPr>
        <w:t xml:space="preserve"> </w:t>
      </w:r>
      <w:r w:rsidRPr="00944FA2">
        <w:rPr>
          <w:rFonts w:ascii="Helvetica Neue" w:hAnsi="Helvetica Neue"/>
          <w:sz w:val="20"/>
          <w:szCs w:val="20"/>
        </w:rPr>
        <w:t xml:space="preserve">and reduced phase </w:t>
      </w:r>
      <w:r>
        <w:rPr>
          <w:rFonts w:ascii="Helvetica Neue" w:hAnsi="Helvetica Neue"/>
          <w:sz w:val="20"/>
          <w:szCs w:val="20"/>
        </w:rPr>
        <w:t xml:space="preserve">alignment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{"citationID":"UI4jXLYG","properties":{"formattedCitation":"(74)","plainCitation":"(74)","noteIndex":0},"citationItems":[{"id":5139,"uris":["http://zotero.org/users/9264269/items/J24TLJYW"],"itemData":{"id":5139,"type":"article-journal","container-title":"Translational Psychiatry","DOI":"10.1038/s41398-025-03510-4","ISSN":"2158-3188","issue":"1","journalAbbreviation":"Transl Psychiatry","language":"en","page":"279","source":"DOI.org (Crossref)","title":"Temporal imprecision and its dynamics in schizophrenia","volume":"15","author":[{"family":"Lechner","given":"Stephan"},{"family":"Hsieh","given":"Ming H."},{"family":"Lin","given":"Yi-Ting"},{"family":"Liu","given":"Chih-Min"},{"family":"Chen","given":"I-Fei"},{"family":"Liu","given":"Chen-Chung"},{"family":"Chien","given":"Yi-Ling"},{"family":"Hwang","given":"Tzung-Jeng"},{"family":"Hwu","given":"Hai-Gwo"},{"family":"Northoff","given":"Georg"}],"issued":{"date-parts":[["2025",8,13]]}}}],"schema":"https://github.com/citation-style-language/schema/raw/master/csl-citation.json"} </w:instrText>
      </w:r>
      <w:r>
        <w:rPr>
          <w:rFonts w:ascii="Helvetica Neue" w:hAnsi="Helvetica Neue"/>
          <w:sz w:val="20"/>
          <w:szCs w:val="20"/>
        </w:rPr>
        <w:fldChar w:fldCharType="separate"/>
      </w:r>
      <w:r w:rsidRPr="00F84228">
        <w:rPr>
          <w:rFonts w:ascii="Helvetica Neue" w:hAnsi="Helvetica Neue"/>
          <w:sz w:val="20"/>
        </w:rPr>
        <w:t>(74)</w:t>
      </w:r>
      <w:r>
        <w:rPr>
          <w:rFonts w:ascii="Helvetica Neue" w:hAnsi="Helvetica Neue"/>
          <w:sz w:val="20"/>
          <w:szCs w:val="20"/>
        </w:rPr>
        <w:fldChar w:fldCharType="end"/>
      </w:r>
      <w:r>
        <w:rPr>
          <w:rFonts w:ascii="Helvetica Neue" w:hAnsi="Helvetica Neue"/>
          <w:b/>
          <w:bCs/>
          <w:color w:val="C00000"/>
          <w:sz w:val="20"/>
          <w:szCs w:val="20"/>
        </w:rPr>
        <w:t xml:space="preserve">. </w:t>
      </w:r>
      <w:r w:rsidRPr="00944FA2">
        <w:rPr>
          <w:rFonts w:ascii="Helvetica Neue" w:hAnsi="Helvetica Neue"/>
          <w:sz w:val="20"/>
          <w:szCs w:val="20"/>
        </w:rPr>
        <w:t>Gamma oscillations coordinate spike timing across neuronal ensembles, creating millisecond-scale windows of integration necessary for coherent inference</w:t>
      </w:r>
      <w:r>
        <w:rPr>
          <w:rFonts w:ascii="Helvetica Neue" w:hAnsi="Helvetica Neue"/>
          <w:sz w:val="20"/>
          <w:szCs w:val="20"/>
        </w:rPr>
        <w:t xml:space="preserv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{"citationID":"8ANNlrRy","properties":{"formattedCitation":"(91,92)","plainCitation":"(91,92)","noteIndex":0},"citationItems":[{"id":5203,"uris":["http://zotero.org/users/9264269/items/UTMXNAFG"],"itemData":{"id":5203,"type":"article-journal","container-title":"JAMA Psychiatry","DOI":"10.1001/jamapsychiatry.2016.2619","ISSN":"2168-622X","issue":"11","journalAbbreviation":"JAMA Psychiatry","language":"en","page":"1145","source":"DOI.org (Crossref)","title":"The 40-Hz Auditory Steady-State Response in Patients With Schizophrenia: A Meta-analysis","title-short":"The 40-Hz Auditory Steady-State Response in Patients With Schizophrenia","volume":"73","author":[{"family":"Thuné","given":"Hanna"},{"family":"Recasens","given":"Marc"},{"family":"Uhlhaas","given":"Peter J."}],"issued":{"date-parts":[["2016",11,1]]}}},{"id":5204,"uris":["http://zotero.org/users/9264269/items/8NLVYLMN"],"itemData":{"id":5204,"type":"article-journal","container-title":"Neuron","DOI":"10.1016/j.neuron.2015.09.034","ISSN":"08966273","issue":"1","journalAbbreviation":"Neuron","language":"en","page":"220-235","source":"DOI.org (Crossref)","title":"Rhythms for Cognition: Communication through Coherence","title-short":"Rhythms for Cognition","volume":"88","author":[{"family":"Fries","given":"Pascal"}],"issued":{"date-parts":[["2015",10]]}}}],"schema":"https://github.com/citation-style-language/schema/raw/master/csl-citation.json"}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(91,92)</w:t>
      </w:r>
      <w:r>
        <w:rPr>
          <w:rFonts w:ascii="Helvetica Neue" w:hAnsi="Helvetica Neue"/>
          <w:sz w:val="20"/>
          <w:szCs w:val="20"/>
        </w:rPr>
        <w:fldChar w:fldCharType="end"/>
      </w:r>
      <w:r w:rsidRPr="00944FA2">
        <w:rPr>
          <w:rFonts w:ascii="Helvetica Neue" w:hAnsi="Helvetica Neue"/>
          <w:sz w:val="20"/>
          <w:szCs w:val="20"/>
        </w:rPr>
        <w:t xml:space="preserve">. Disruption of these oscillatory mechanisms therefore </w:t>
      </w:r>
      <w:r>
        <w:rPr>
          <w:rFonts w:ascii="Helvetica Neue" w:hAnsi="Helvetica Neue"/>
          <w:sz w:val="20"/>
          <w:szCs w:val="20"/>
        </w:rPr>
        <w:t>may provide</w:t>
      </w:r>
      <w:r w:rsidRPr="00944FA2">
        <w:rPr>
          <w:rFonts w:ascii="Helvetica Neue" w:hAnsi="Helvetica Neue"/>
          <w:sz w:val="20"/>
          <w:szCs w:val="20"/>
        </w:rPr>
        <w:t xml:space="preserve"> a plausible neural substrate for </w:t>
      </w:r>
      <w:r>
        <w:rPr>
          <w:rFonts w:ascii="Helvetica Neue" w:hAnsi="Helvetica Neue"/>
          <w:sz w:val="20"/>
          <w:szCs w:val="20"/>
        </w:rPr>
        <w:t xml:space="preserve">the </w:t>
      </w:r>
      <w:r w:rsidRPr="00944FA2">
        <w:rPr>
          <w:rFonts w:ascii="Helvetica Neue" w:hAnsi="Helvetica Neue"/>
          <w:sz w:val="20"/>
          <w:szCs w:val="20"/>
        </w:rPr>
        <w:t>imprecise precision-weighted predictive coding.</w:t>
      </w:r>
    </w:p>
    <w:p w14:paraId="76A37AE6" w14:textId="77777777" w:rsidR="00602384" w:rsidRPr="002517A9"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Pr>
          <w:rFonts w:ascii="Helvetica Neue" w:hAnsi="Helvetica Neue"/>
          <w:sz w:val="20"/>
          <w:szCs w:val="20"/>
        </w:rPr>
        <w:t xml:space="preserve">These gamma abnormalities are thought to stem fundamentally from an excitation-inhibition (E/I) imbalance driven by NMDA-receptor hypofunction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09H5o60f","properties":{"formattedCitation":"(93)","plainCitation":"(93)","noteIndex":0},"citationItems":[{"id":5186,"uris":["http://zotero.org/users/9264269/items/KRBQ4QQZ"],"itemData":{"id":5186,"type":"article-journal","container-title":"Focus","DOI":"10.1176/appi.focus.20200022","ISSN":"1541-4094, 1541-4108","issue":"4","journalAbbreviation":"FOC","language":"en","page":"368-374","source":"DOI.org (Crossref)","title":"What a Clinician Should Know About the Neurobiology of Schizophrenia: A Historical Perspective to Current Understanding","title-short":"What a Clinician Should Know About the Neurobiology of Schizophrenia","volume":"18","author":[{"family":"DeLisi","given":"Lynn E."}],"issued":{"date-parts":[["2020",10]]}}}],"schema":"https://github.com/citation-style-language/schema/raw/master/csl-citation.json"}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(93)</w:t>
      </w:r>
      <w:r>
        <w:rPr>
          <w:rFonts w:ascii="Helvetica Neue" w:hAnsi="Helvetica Neue"/>
          <w:sz w:val="20"/>
          <w:szCs w:val="20"/>
        </w:rPr>
        <w:fldChar w:fldCharType="end"/>
      </w:r>
      <w:r>
        <w:rPr>
          <w:rFonts w:ascii="Helvetica Neue" w:hAnsi="Helvetica Neue"/>
          <w:sz w:val="20"/>
          <w:szCs w:val="20"/>
        </w:rPr>
        <w:t xml:space="preserve">. Genetic and empirical evidence indicates that NMDA hypofunction compromises parvalbumin-positive (PV+) inhibitory interneurons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ihFV2SN2","properties":{"unsorted":false,"formattedCitation":"(68,94\\uc0\\u8211{}96)","plainCitation":"(68,94–96)","noteIndex":0},"citationItems":[{"id":1411,"uris":["http://zotero.org/users/9264269/items/6ZHABH4R"],"itemData":{"id":1411,"type":"article-journal","container-title":"Schizophrenia Research","DOI":"10.1016/j.schres.2021.01.023","ISSN":"09209964","journalAbbreviation":"Schizophrenia Research","language":"en","page":"23-41","source":"DOI.org (Crossref)","title":"Rethinking delusions: A selective review of delusion research through a computational lens","title-short":"Rethinking delusions","volume":"245","author":[{"family":"Ashinoff","given":"Brandon K."},{"family":"Singletary","given":"Nicholas M."},{"family":"Baker","given":"Seth C."},{"family":"Horga","given":"Guillermo"}],"issued":{"date-parts":[["2022",7]]}}},{"id":28,"uris":["http://zotero.org/users/9264269/items/TVNZA972"],"itemData":{"id":28,"type":"article-journal","abstract":"Brains are hierarchically organized to generate predictions about the world and reconcile those predictions with experience through Bayesian inference. This issue of the Journal of Abnormal Psychology contains a series of studies that describe experimental and theoretical advances in the application of predictive processing to mental health. Further applications of these ideas may help advance the understanding of how stress alters mental health to enable individuals to adapt to uncertainty and threat.","container-title":"Journal of Abnormal Psychology","DOI":"10.1037/abn0000628","ISSN":"1939-1846, 0021-843X","issue":"6","journalAbbreviation":"Journal of Abnormal Psychology","language":"en","page":"629-632","source":"DOI.org (Crossref)","title":"Predictive processing in mental illness: Hierarchical circuitry for perception and trauma.","title-short":"Predictive processing in mental illness","volume":"129","author":[{"family":"Kaye","given":"Alfred P."},{"family":"Krystal","given":"John H."}],"issued":{"date-parts":[["2020",8]]}}},{"id":5197,"uris":["http://zotero.org/users/9264269/items/55DE92AX"],"itemData":{"id":5197,"type":"article-journal","abstract":"NMDA receptors mediate excitatory postsynaptic potentials throughout the brain but, paradoxically, NMDA receptor antagonists produce cortical excitation in humans and behaving rodents. To elucidate a mechanism for these diverging effects, we examined the effect of use-dependent inhibition of NMDA receptors on the spontaneous activity of putative GABA interneurons and pyramidal neurons in the prefrontal cortex of awake rats. We find that inhibition of NMDA receptors predominately decreases the activity of putative GABA interneurons but, at a delayed rate, increases the firing rate of the majority of pyramidal neurons. Thus, NMDA receptors preferentially drive the activity of cortical inhibitory interneurons suggesting that NMDA receptor inhibition causes cortical excitation by disinhibition of pyramidal neurons. These findings support the hypothesis that NMDA receptor hypofunction, which has been implicated in the pathophysiology of schizophrenia, diminishes the inhibitory control of PFC output neurons. Reducing this effect may be critical for treatment of schizophrenia.","container-title":"The Journal of Neuroscience","DOI":"10.1523/JNEUROSCI.2213-07.2007","ISSN":"0270-6474, 1529-2401","issue":"43","journalAbbreviation":"J. Neurosci.","language":"en","license":"https://creativecommons.org/licenses/by-nc-sa/4.0/","page":"11496-11500","source":"DOI.org (Crossref)","title":"NMDA Receptor Hypofunction Produces Opposite Effects on Prefrontal Cortex Interneurons and Pyramidal Neurons","volume":"27","author":[{"family":"Homayoun","given":"Houman"},{"family":"Moghaddam","given":"Bita"}],"issued":{"date-parts":[["2007",10,24]]}}},{"id":5199,"uris":["http://zotero.org/users/9264269/items/L6N2CTFX"],"itemData":{"id":5199,"type":"article-journal","container-title":"Schizophrenia Bulletin","DOI":"10.1093/schbul/sbs010","ISSN":"0586-7614, 1745-1701","issue":"5","journalAbbreviation":"Schizophrenia Bulletin","language":"en","page":"950-957","source":"DOI.org (Crossref)","title":"NMDA Receptor Hypofunction, Parvalbumin-Positive Neurons, and Cortical Gamma Oscillations in Schizophrenia","volume":"38","author":[{"family":"Gonzalez-Burgos","given":"G."},{"family":"Lewis","given":"D. A."}],"issued":{"date-parts":[["2012",9,1]]}}}],"schema":"https://github.com/citation-style-language/schema/raw/master/csl-citation.json"}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cs="Times New Roman"/>
          <w:sz w:val="20"/>
        </w:rPr>
        <w:t>(68,94–96)</w:t>
      </w:r>
      <w:r>
        <w:rPr>
          <w:rFonts w:ascii="Helvetica Neue" w:hAnsi="Helvetica Neue"/>
          <w:sz w:val="20"/>
          <w:szCs w:val="20"/>
        </w:rPr>
        <w:fldChar w:fldCharType="end"/>
      </w:r>
      <w:r>
        <w:rPr>
          <w:rFonts w:ascii="Helvetica Neue" w:hAnsi="Helvetica Neue"/>
          <w:sz w:val="20"/>
          <w:szCs w:val="20"/>
        </w:rPr>
        <w:t xml:space="preserve">. The resulting loss of PV+ mediated rhythmic inhibition can lead to increasingly “noisy” pyramidal firing, potentially degrading the temporal coordination required for synchronized gamma activity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8wwW1Oeu","properties":{"unsorted":false,"formattedCitation":"(54,91,97)","plainCitation":"(54,91,97)","noteIndex":0},"citationItems":[{"id":343,"uris":["http://zotero.org/users/9264269/items/LVRG96LT"],"itemData":{"id":343,"type":"article-journal","abstract":"This paper considers psychotic symptoms in terms of false inferences or beliefs. It is based on the notion that the brain is an inference machine that actively constructs hypotheses to explain or predict its sensations. This perspective provides a normative (Bayes-optimal) account of action and perception that emphasizes probabilistic representations; in particular, the confidence or precision of beliefs about the world. We will consider hallucinosis, abnormal eye movements, sensory attenuation deficits, catatonia, and delusions as various expressions of the same core pathology: namely, an aberrant encoding of precision. From a cognitive perspective, this represents a pernicious failure of metacognition (beliefs about beliefs) that can confound perceptual inference. In the embodied setting of active (Bayesian) inference, it can lead to behaviors that are paradoxically more accurate than Bayes-optimal behavior. Crucially, this normative account is accompanied by a neuronally plausible process theory based upon hierarchical predictive coding. In predictive coding, precision is thought to be encoded by the post-synaptic gain of neurons reporting prediction error. This suggests that both pervasive trait abnormalities and florid failures of inference in the psychotic state can be linked to factors controlling post-synaptic gain - such as NMDA receptor function and (dopaminergic) neuromodulation. We illustrate these points using biologically plausible simulations of perceptual synthesis, smooth pursuit eye movements and attribution of agency - that all use the same predictive coding scheme and pathology: namely, a reduction in the precision of prior beliefs, relative to sensory evidence.","container-title":"Frontiers in Psychiatry","DOI":"10.3389/fpsyt.2013.00047","ISSN":"1664-0640","issue":"May","page":"1–26","title":"The Computational Anatomy of Psychosis","volume":"4","author":[{"family":"Adams","given":"Rick A."},{"family":"Stephan","given":"Klaas Enno"},{"family":"Brown","given":"Harriet R."},{"family":"Frith","given":"Christopher D."},{"family":"Friston","given":"Karl J."}],"issued":{"date-parts":[["2013"]]}}},{"id":5203,"uris":["http://zotero.org/users/9264269/items/UTMXNAFG"],"itemData":{"id":5203,"type":"article-journal","container-title":"JAMA Psychiatry","DOI":"10.1001/jamapsychiatry.2016.2619","ISSN":"2168-622X","issue":"11","journalAbbreviation":"JAMA Psychiatry","language":"en","page":"1145","source":"DOI.org (Crossref)","title":"The 40-Hz Auditory Steady-State Response in Patients With Schizophrenia: A Meta-analysis","title-short":"The 40-Hz Auditory Steady-State Response in Patients With Schizophrenia","volume":"73","author":[{"family":"Thuné","given":"Hanna"},{"family":"Recasens","given":"Marc"},{"family":"Uhlhaas","given":"Peter J."}],"issued":{"date-parts":[["2016",11,1]]}}},{"id":5142,"uris":["http://zotero.org/users/9264269/items/7YMZH3ZQ"],"itemData":{"id":5142,"type":"article-journal","container-title":"Journal of Neurology, Neurosurgery &amp; Psychiatry","DOI":"10.1136/jnnp-2015-310737","ISSN":"0022-3050, 1468-330X","journalAbbreviation":"J Neurol Neurosurg Psychiatry","language":"en","page":"jnnp-2015-310737","source":"DOI.org (Crossref)","title":"Computational Psychiatry: towards a mathematically informed understanding of mental illness","title-short":"Computational Psychiatry","author":[{"family":"Adams","given":"Rick A"},{"family":"Huys","given":"Quentin J M"},{"family":"Roiser","given":"Jonathan P"}],"issued":{"date-parts":[["2015",7,8]]}}}],"schema":"https://github.com/citation-style-language/schema/raw/master/csl-citation.json"}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(54,91,97)</w:t>
      </w:r>
      <w:r>
        <w:rPr>
          <w:rFonts w:ascii="Helvetica Neue" w:hAnsi="Helvetica Neue"/>
          <w:sz w:val="20"/>
          <w:szCs w:val="20"/>
        </w:rPr>
        <w:fldChar w:fldCharType="end"/>
      </w:r>
      <w:r>
        <w:rPr>
          <w:rFonts w:ascii="Helvetica Neue" w:hAnsi="Helvetica Neue"/>
          <w:sz w:val="20"/>
          <w:szCs w:val="20"/>
        </w:rPr>
        <w:t xml:space="preserve">. Supporting this microcircuit account, NMDA receptor blockade (e.g., via ketamine) reduces inhibitory connectivity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{"citationID":"F82qtn21","properties":{"formattedCitation":"(98)","plainCitation":"(98)","noteIndex":0},"citationItems":[{"id":5149,"uris":["http://zotero.org/users/9264269/items/2H246HZH"],"itemData":{"id":5149,"type":"article-journal","container-title":"Biological Psychiatry: Cognitive Neuroscience and Neuroimaging","DOI":"10.1016/j.bpsc.2018.07.003","ISSN":"24519022","issue":"2","journalAbbreviation":"Biological Psychiatry: Cognitive Neuroscience and Neuroimaging","language":"en","license":"https://www.elsevier.com/tdm/userlicense/1.0/","page":"140-150","source":"DOI.org (Crossref)","title":"Selective Prefrontal Disinhibition in a Roving Auditory Oddball Paradigm Under N-Methyl-D-Aspartate Receptor Blockade","volume":"4","author":[{"family":"Rosch","given":"Richard E."},{"family":"Auksztulewicz","given":"Ryszard"},{"family":"Leung","given":"Pui Duen"},{"family":"Friston","given":"Karl J."},{"family":"Baldeweg","given":"Torsten"}],"issued":{"date-parts":[["2019",2]]}}}],"schema":"https://github.com/citation-style-language/schema/raw/master/csl-citation.json"}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(98)</w:t>
      </w:r>
      <w:r>
        <w:rPr>
          <w:rFonts w:ascii="Helvetica Neue" w:hAnsi="Helvetica Neue"/>
          <w:sz w:val="20"/>
          <w:szCs w:val="20"/>
        </w:rPr>
        <w:fldChar w:fldCharType="end"/>
      </w:r>
      <w:r>
        <w:rPr>
          <w:rFonts w:ascii="Helvetica Neue" w:hAnsi="Helvetica Neue"/>
          <w:sz w:val="20"/>
          <w:szCs w:val="20"/>
        </w:rPr>
        <w:t xml:space="preserve">, while combined EEG-simulation studies link this E/I imbalance directly to the aberrant glutamatergic firing patterns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{"citationID":"mkGSd86H","properties":{"formattedCitation":"(99)","plainCitation":"(99)","noteIndex":0},"citationItems":[{"id":1503,"uris":["http://zotero.org/users/9264269/items/NNHZW6IH"],"itemData":{"id":1503,"type":"article-journal","abstract":"Abstract\n            Electroencephalography studies link sensory processing issues in schizophrenia to increased noise level—noise here is background spontaneous activity—as measured by the signal-to-noise ratio. The mechanism, however, of such increased noise is unknown. We investigate if this relates to changes in cortical excitation-inhibition balance, which has been observed to be atypical in schizophrenia, by combining electroencephalography and computational modeling. Our electroencephalography task results, for which the local field potentials can be used as a proxy, show lower signal-to-noise ratio due to higher noise in schizophrenia. Both electroencephalography rest and task states exhibit higher levels of excitation in the functional excitation-inhibition (as a proxy of excitation-inhibition balance). This suggests a relationship between increased noise and atypical excitation in schizophrenia, which was addressed by using computational modeling. A Leaky Integrate-and-Fire model was used to simulate the effects of varying degrees of noise on excitation-inhibition balance, local field potential, NMDA current, and . Results show a noise-related increase in the local field potential, excitation in excitation-inhibition balance, pyramidal NMDA current, and spike rate. Mutual information and mediation analysis were used to explore a cross-level relationship, showing that the cortical local field potential plays a key role in transferring the effect of noise to the cellular population level of NMDA.","container-title":"Cerebral Cortex","DOI":"10.1093/cercor/bhad297","ISSN":"1047-3211, 1460-2199","language":"en","page":"bhad297","source":"DOI.org (Crossref)","title":"Increased noise relates to abnormal excitation-inhibition balance in schizophrenia: a combined empirical and computational study","title-short":"Increased noise relates to abnormal excitation-inhibition balance in schizophrenia","author":[{"family":"Abbasi","given":"Samira"},{"family":"Wolff","given":"Annemarie"},{"family":"Çatal","given":"Yasir"},{"family":"Northoff","given":"Georg"}],"issued":{"date-parts":[["2023",8,10]]}}}],"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(99)</w:t>
      </w:r>
      <w:r>
        <w:rPr>
          <w:rFonts w:ascii="Helvetica Neue" w:hAnsi="Helvetica Neue"/>
          <w:sz w:val="20"/>
          <w:szCs w:val="20"/>
        </w:rPr>
        <w:fldChar w:fldCharType="end"/>
      </w:r>
      <w:r w:rsidRPr="00B37590">
        <w:rPr>
          <w:rFonts w:ascii="Helvetica Neue" w:hAnsi="Helvetica Neue"/>
          <w:sz w:val="20"/>
          <w:szCs w:val="20"/>
        </w:rPr>
        <w:t>.</w:t>
      </w:r>
      <w:r>
        <w:rPr>
          <w:rFonts w:ascii="Helvetica Neue" w:hAnsi="Helvetica Neue"/>
          <w:sz w:val="20"/>
          <w:szCs w:val="20"/>
        </w:rPr>
        <w:t xml:space="preserve"> </w:t>
      </w:r>
    </w:p>
    <w:p w14:paraId="78AEC64F" w14:textId="77777777" w:rsidR="00602384"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sidRPr="008B4554">
        <w:rPr>
          <w:rFonts w:ascii="Helvetica Neue" w:hAnsi="Helvetica Neue"/>
          <w:sz w:val="20"/>
          <w:szCs w:val="20"/>
        </w:rPr>
        <w:t xml:space="preserve">Dopaminergic </w:t>
      </w:r>
      <w:r>
        <w:rPr>
          <w:rFonts w:ascii="Helvetica Neue" w:hAnsi="Helvetica Neue"/>
          <w:sz w:val="20"/>
          <w:szCs w:val="20"/>
        </w:rPr>
        <w:t>signaling</w:t>
      </w:r>
      <w:r w:rsidRPr="008B4554">
        <w:rPr>
          <w:rFonts w:ascii="Helvetica Neue" w:hAnsi="Helvetica Neue"/>
          <w:sz w:val="20"/>
          <w:szCs w:val="20"/>
        </w:rPr>
        <w:t xml:space="preserve"> can further</w:t>
      </w:r>
      <w:r>
        <w:rPr>
          <w:rFonts w:ascii="Helvetica Neue" w:hAnsi="Helvetica Neue"/>
          <w:sz w:val="20"/>
          <w:szCs w:val="20"/>
        </w:rPr>
        <w:t xml:space="preserve"> </w:t>
      </w:r>
      <w:r w:rsidRPr="008B4554">
        <w:rPr>
          <w:rFonts w:ascii="Helvetica Neue" w:hAnsi="Helvetica Neue"/>
          <w:sz w:val="20"/>
          <w:szCs w:val="20"/>
        </w:rPr>
        <w:t>modulate this temporal precision mechanism by regulating synaptic gain and the precision-weighting</w:t>
      </w:r>
      <w:r>
        <w:rPr>
          <w:rFonts w:ascii="Helvetica Neue" w:hAnsi="Helvetica Neue"/>
          <w:sz w:val="20"/>
          <w:szCs w:val="20"/>
        </w:rPr>
        <w:t xml:space="preserve"> </w:t>
      </w:r>
      <w:r w:rsidRPr="008B4554">
        <w:rPr>
          <w:rFonts w:ascii="Helvetica Neue" w:hAnsi="Helvetica Neue"/>
          <w:sz w:val="20"/>
          <w:szCs w:val="20"/>
        </w:rPr>
        <w:t>of prediction errors</w:t>
      </w:r>
      <w:r>
        <w:rPr>
          <w:rFonts w:ascii="Helvetica Neue" w:hAnsi="Helvetica Neue"/>
          <w:sz w:val="20"/>
          <w:szCs w:val="20"/>
        </w:rPr>
        <w:t xml:space="preserv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{"citationID":"MnPVGS7j","properties":{"formattedCitation":"(100,101)","plainCitation":"(100,101)","noteIndex":0},"citationItems":[{"id":5210,"uris":["http://zotero.org/users/9264269/items/VXYIUQGE"],"itemData":{"id":5210,"type":"article-journal","container-title":"PLoS Computational Biology","DOI":"10.1371/journal.pcbi.1002327","ISSN":"1553-7358","issue":"1","journalAbbreviation":"PLoS Comput Biol","language":"en","page":"e1002327","source":"DOI.org (Crossref)","title":"Dopamine, Affordance and Active Inference","volume":"8","author":[{"family":"Friston","given":"Karl J."},{"family":"Shiner","given":"Tamara"},{"family":"FitzGerald","given":"Thomas"},{"family":"Galea","given":"Joseph M."},{"family":"Adams","given":"Rick"},{"family":"Brown","given":"Harriet"},{"family":"Dolan","given":"Raymond J."},{"family":"Moran","given":"Rosalyn"},{"family":"Stephan","given":"Klaas Enno"},{"family":"Bestmann","given":"Sven"}],"editor":[{"family":"Sporns","given":"Olaf"}],"issued":{"date-parts":[["2012",1,5]]}}},{"id":5212,"uris":["http://zotero.org/users/9264269/items/B67C8B9L"],"itemData":{"id":5212,"type":"article-journal","container-title":"Frontiers in Computational Neuroscience","DOI":"10.3389/fncom.2015.00136","ISSN":"1662-5188","journalAbbreviation":"Front. Comput. Neurosci.","source":"DOI.org (Crossref)","title":"Dopamine, reward learning, and active inference","URL":"http://journal.frontiersin.org/Article/10.3389/fncom.2015.00136/abstract","volume":"9","author":[{"family":"FitzGerald","given":"Thomas H. B."},{"family":"Dolan","given":"Raymond J."},{"family":"Friston","given":"Karl"}],"accessed":{"date-parts":[["2025",10,31]]},"issued":{"date-parts":[["2015",11,4]]}}}],"schema":"https://github.com/citation-style-language/schema/raw/master/csl-citation.json"}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(100,101)</w:t>
      </w:r>
      <w:r>
        <w:rPr>
          <w:rFonts w:ascii="Helvetica Neue" w:hAnsi="Helvetica Neue"/>
          <w:sz w:val="20"/>
          <w:szCs w:val="20"/>
        </w:rPr>
        <w:fldChar w:fldCharType="end"/>
      </w:r>
      <w:r w:rsidRPr="008B4554">
        <w:rPr>
          <w:rFonts w:ascii="Helvetica Neue" w:hAnsi="Helvetica Neue"/>
          <w:sz w:val="20"/>
          <w:szCs w:val="20"/>
        </w:rPr>
        <w:t xml:space="preserve">. </w:t>
      </w:r>
      <w:r w:rsidRPr="003F4E60">
        <w:rPr>
          <w:rFonts w:ascii="Helvetica Neue" w:hAnsi="Helvetica Neue"/>
          <w:sz w:val="20"/>
          <w:szCs w:val="20"/>
        </w:rPr>
        <w:t xml:space="preserve">Crucially, dopamine also acts as a primary temporal marker; dopaminergic neurons actively compute temporal difference errors on a moment-by-moment basis, functioning analogously to a temporal derivative </w:t>
      </w:r>
      <w:r>
        <w:rPr>
          <w:rFonts w:asciiTheme="minorHAnsi" w:hAnsiTheme="minorHAnsi"/>
          <w:color w:val="auto"/>
          <w:sz w:val="20"/>
          <w:szCs w:val="20"/>
        </w:rPr>
        <w:fldChar w:fldCharType="begin"/>
      </w:r>
      <w:r>
        <w:rPr>
          <w:rFonts w:asciiTheme="minorHAnsi" w:hAnsiTheme="minorHAnsi"/>
          <w:color w:val="auto"/>
          <w:sz w:val="20"/>
          <w:szCs w:val="20"/>
        </w:rPr>
        <w:instrText xml:space="preserve"> ADDIN ZOTERO_ITEM CSL_CITATION {"citationID":"Q3OYRYRp","properties":{"formattedCitation":"(102)","plainCitation":"(102)","noteIndex":0},"citationItems":[{"id":5418,"uris":["http://zotero.org/users/9264269/items/PVZFHE6B"],"itemData":{"id":5418,"type":"article-journal","abstract":"Rapid phasic activity of midbrain dopamine neurons is thought to signal reward prediction errors (RPEs), resembling temporal difference errors used in machine learning. However, recent studies describing slowly increasing dopamine signals have instead proposed that they represent state values and arise independent from somatic spiking activity. Here we developed experimental paradigms using virtual reality that disambiguate RPEs from values. We examined dopamine circuit activity at various stages, including somatic spiking, calcium signals at somata and axons, and striatal dopamine concentrations. Our results demonstrate that ramping dopamine signals are consistent with RPEs rather than value, and this ramping is observed at all stages examined. Ramping dopamine signals can be driven by a dynamic stimulus that indicates a gradual approach to a reward. We provide a uniﬁed computational understanding of rapid phasic and slowly ramping dopamine signals: dopamine neurons perform a derivative-like computation over values on a moment-bymoment basis.","container-title":"Cell","DOI":"10.1016/j.cell.2020.11.013","ISSN":"00928674","issue":"6","journalAbbreviation":"Cell","language":"en","page":"1600-1616.e25","source":"DOI.org (Crossref)","title":"A Unified Framework for Dopamine Signals across Timescales","volume":"183","author":[{"family":"Kim","given":"HyungGoo R."},{"family":"Malik","given":"Athar N."},{"family":"Mikhael","given":"John G."},{"family":"Bech","given":"Pol"},{"family":"Tsutsui-Kimura","given":"Iku"},{"family":"Sun","given":"Fangmiao"},{"family":"Zhang","given":"Yajun"},{"family":"Li","given":"Yulong"},{"family":"Watabe-Uchida","given":"Mitsuko"},{"family":"Gershman","given":"Samuel J."},{"family":"Uchida","given":"Naoshige"}],"issued":{"date-parts":[["2020",12]]}}}],"schema":"https://github.com/citation-style-language/schema/raw/master/csl-citation.json"} </w:instrText>
      </w:r>
      <w:r>
        <w:rPr>
          <w:rFonts w:asciiTheme="minorHAnsi" w:hAnsiTheme="minorHAnsi"/>
          <w:color w:val="auto"/>
          <w:sz w:val="20"/>
          <w:szCs w:val="20"/>
        </w:rPr>
        <w:fldChar w:fldCharType="separate"/>
      </w:r>
      <w:r w:rsidRPr="00885831">
        <w:rPr>
          <w:rFonts w:ascii="Helvetica Neue" w:hAnsi="Helvetica Neue"/>
          <w:sz w:val="20"/>
        </w:rPr>
        <w:t>(102)</w:t>
      </w:r>
      <w:r>
        <w:rPr>
          <w:rFonts w:asciiTheme="minorHAnsi" w:hAnsiTheme="minorHAnsi"/>
          <w:color w:val="auto"/>
          <w:sz w:val="20"/>
          <w:szCs w:val="20"/>
        </w:rPr>
        <w:fldChar w:fldCharType="end"/>
      </w:r>
      <w:r w:rsidRPr="003F4E60">
        <w:rPr>
          <w:rFonts w:ascii="Helvetica Neue" w:hAnsi="Helvetica Neue"/>
          <w:sz w:val="20"/>
          <w:szCs w:val="20"/>
        </w:rPr>
        <w:t>. This temporal coding operates across a hierarchy, where fast dopamine fluctuations encode immediate events and slow transients encode broader states (206). In hyper-dopaminergic states, an overload of these temporal derivatives decouples the fast and slow signals, causing the brain to lose its ‘temporal syntax.’ The system becomes locked into a disjointed, short-timescale mode that prevents the integration of events into a stable stream of consciousness</w:t>
      </w:r>
      <w:r>
        <w:rPr>
          <w:rFonts w:ascii="Helvetica Neue" w:hAnsi="Helvetica Neue"/>
          <w:sz w:val="20"/>
          <w:szCs w:val="20"/>
        </w:rPr>
        <w:t xml:space="preserve"> </w:t>
      </w:r>
      <w:r>
        <w:rPr>
          <w:rFonts w:asciiTheme="minorHAnsi" w:hAnsiTheme="minorHAnsi"/>
          <w:color w:val="auto"/>
          <w:sz w:val="20"/>
          <w:szCs w:val="20"/>
        </w:rPr>
        <w:fldChar w:fldCharType="begin"/>
      </w:r>
      <w:r>
        <w:rPr>
          <w:rFonts w:asciiTheme="minorHAnsi" w:hAnsiTheme="minorHAnsi"/>
          <w:color w:val="auto"/>
          <w:sz w:val="20"/>
          <w:szCs w:val="20"/>
        </w:rPr>
        <w:instrText xml:space="preserve"> ADDIN ZOTERO_ITEM CSL_CITATION {"citationID":"0qAc0nYH","properties":{"formattedCitation":"(74,103\\uc0\\u8211{}105)","plainCitation":"(74,103–105)","noteIndex":0},"citationItems":[{"id":5139,"uris":["http://zotero.org/users/9264269/items/J24TLJYW"],"itemData":{"id":5139,"type":"article-journal","container-title":"Translational Psychiatry","DOI":"10.1038/s41398-025-03510-4","ISSN":"2158-3188","issue":"1","journalAbbreviation":"Transl Psychiatry","language":"en","page":"279","source":"DOI.org (Crossref)","title":"Temporal imprecision and its dynamics in schizophrenia","volume":"15","author":[{"family":"Lechner","given":"Stephan"},{"family":"Hsieh","given":"Ming H."},{"family":"Lin","given":"Yi-Ting"},{"family":"Liu","given":"Chih-Min"},{"family":"Chen","given":"I-Fei"},{"family":"Liu","given":"Chen-Chung"},{"family":"Chien","given":"Yi-Ling"},{"family":"Hwang","given":"Tzung-Jeng"},{"family":"Hwu","given":"Hai-Gwo"},{"family":"Northoff","given":"Georg"}],"issued":{"date-parts":[["2025",8,13]]}}},{"id":5448,"uris":["http://zotero.org/users/9264269/items/5XU29NCL"],"itemData":{"id":5448,"type":"article-journal","abstract":"Abstract\n            Abnormal space experience (ASE) is a common feature of schizophrenia, despite its absence from current diagnostic manuals. Phenomenological psychopathologists have investigated this experiential disturbance, but these studies were typically based on anecdotal evidence from limited clinical interactions. To better understand the nature of ASE in schizophrenia and attempt to validate previous phenomenological accounts, we conducted a qualitative study of 301 people with schizophrenia. Clinical files were analyzed by means of Consensual Qualitative Research, an inductive method for analyzing descriptions of lived experience. Our main findings can be summed up as follows: (1) ASEs are a relevant feature in schizophrenia (70.1% of patients reported at least 1 ASE). (2) ASE in schizophrenia are characterized by 5 main categories of phenomena (listed from more represented to less represented): (a) experiences of strangeness and unfamiliarity (eg “Everything appeared weird. Face distorted, world looks terrible, nasty”); (b) experiences of centrality/invasion of peripersonal space (eg “Handkerchief on scaffolding: message telling him something”); (c) alteration of the quality of things (eg “Buildings leaning down”); (d) alteration of the quality of the environment (eg “Person sitting six feet away seemed to be at an infinite distance”); and (e) itemization and perceptive salience (eg “All patients [in ward] have bright eyes”). (3) ASEs are much more frequent in acute (91.9%) than in chronic (28.15%) schizophrenia patients. Moreover, our findings further empirical support for phenomenological accounts of schizophrenia, including those developed by Jaspers, Binswanger, Minkowski, and Conrad, among others and provide the background for translational research.","container-title":"Schizophrenia Bulletin","DOI":"10.1093/schbul/sbz107","ISSN":"0586-7614, 1745-1701","issue":"3","language":"en","license":"https://academic.oup.com/journals/pages/open_access/funder_policies/chorus/standard_publication_model","page":"530-539","source":"DOI.org (Crossref)","title":"Abnormal Space Experiences in Persons With Schizophrenia: An Empirical Qualitative Study","title-short":"Abnormal Space Experiences in Persons With Schizophrenia","volume":"46","author":[{"family":"Stanghellini","given":"Giovanni"},{"family":"Fernandez","given":"Anthony Vincent"},{"family":"Ballerini","given":"Massimo"},{"family":"Blasi","given":"Stefano"},{"family":"Belfiore","given":"Erika"},{"family":"Cutting","given":"John"},{"family":"Mancini","given":"Milena"}],"issued":{"date-parts":[["2020",4,10]]}}},{"id":1492,"uris":["http://zotero.org/users/9264269/items/YB9S33WM"],"itemData":{"id":1492,"type":"article-journal","container-title":"Frontiers in Human Neuroscience","DOI":"10.3389/fnhum.2016.00172","ISSN":"1662-5161","journalAbbreviation":"Front. Hum. Neurosci.","source":"DOI.org (Crossref)","title":"How to Link Brain and Experience? Spatiotemporal Psychopathology of the Lived Body","title-short":"How to Link Brain and Experience?","URL":"http://journal.frontiersin.org/Article/10.3389/fnhum.2016.00172/abstract","volume":"10","author":[{"family":"Northoff","given":"Georg"},{"family":"Stanghellini","given":"Giovanni"}],"accessed":{"date-parts":[["2023",10,1]]},"issued":{"date-parts":[["2016",4,28]]}}},{"id":1384,"uris":["http://zotero.org/users/9264269/items/E3FAK2KU"],"itemData":{"id":1384,"type":"article-journal","abstract":"&lt;b&gt;&lt;i&gt;Introduction:&lt;/i&gt;&lt;/b&gt; Abnormalities in the experience of space and time are fundamental to understanding schizophrenia spectrum disorders, but the precise relation between such abnormalities and psychopathological symptoms is still unclear. Therefore, the aim of our study was to introduce a novel scale for space and time experience in psychosis (STEP), specifically devised to assess schizophrenia spectrum disorders. &lt;b&gt;&lt;i&gt;Methods:&lt;/i&gt;&lt;/b&gt; The STEP scale is a semiquantitative instrument developed on the basis of several items from previous scales and phenomenological reports addressing the experience of space and time. We applied the STEP scale to three groups of subjects (patients with schizophrenia spectrum disorders, patients with predominant affective symptoms, and healthy control subjects), to whom we also applied other more general psychopathological scales, such as the Positive and Negative Syndrome Scale and the Ego-Psychopathology Inventory. &lt;b&gt;&lt;i&gt;Results:&lt;/i&gt;&lt;/b&gt; Patients with schizophrenia spectrum disorders scored significantly higher on general psychopatho&lt;X00_Del_TrennDivis&gt;­-&lt;/X00_Del_TrennDivis&gt;logical scales relative to subjects belonging to the other groups. The STEP scale provided good psychometric properties regarding reliability. We also tested convergent and divergent validity of the STEP scale  and found that space and time subscale scores of STEP significantly correlated with each other, as well as with the remaining general psychopathological scores. &lt;b&gt;&lt;i&gt;Discussion/Conclusion:&lt;/i&gt;&lt;/b&gt; We introduced the STEP scale as a novel instrument for the assessment of experience of space and time. Its psychometric properties showed high validity and reliability to identify psychopathological symptoms and enabled to differentiate patients with predominantly psychotic symptoms from those with predominantly affective symptoms. The STEP scale provides a standardized measure for assessing disturbances in the experience of space and time. Furthermore, it probably represents a leap forward toward the establishment of an additional dimension of symptoms proposed as “spatiotemporal psychopathology.”","container-title":"Psychopathology","DOI":"10.1159/000519500","ISSN":"0254-4962, 1423-033X","issue":"3-4","journalAbbreviation":"Psychopathology","language":"en","page":"132-142","source":"DOI.org (Crossref)","title":"Scale for Space and Time Experience in Psychosis: Converging Phenomenological and Psychopathological Perspectives","title-short":"Scale for Space and Time Experience in Psychosis","volume":"55","author":[{"family":"Arantes-Gonçalves","given":"Filipe"},{"family":"Wolman","given":"Angelika"},{"family":"Bastos-Leite","given":"António J."},{"family":"Northoff","given":"Georg"}],"issued":{"date-parts":[["2022"]]}}}],"schema":"https://github.com/citation-style-language/schema/raw/master/csl-citation.json"} </w:instrText>
      </w:r>
      <w:r>
        <w:rPr>
          <w:rFonts w:asciiTheme="minorHAnsi" w:hAnsiTheme="minorHAnsi"/>
          <w:color w:val="auto"/>
          <w:sz w:val="20"/>
          <w:szCs w:val="20"/>
        </w:rPr>
        <w:fldChar w:fldCharType="separate"/>
      </w:r>
      <w:r w:rsidRPr="00885831">
        <w:rPr>
          <w:rFonts w:ascii="Helvetica Neue" w:hAnsi="Helvetica Neue" w:cs="Times New Roman"/>
          <w:sz w:val="20"/>
        </w:rPr>
        <w:t>(74,103–105)</w:t>
      </w:r>
      <w:r>
        <w:rPr>
          <w:rFonts w:asciiTheme="minorHAnsi" w:hAnsiTheme="minorHAnsi"/>
          <w:color w:val="auto"/>
          <w:sz w:val="20"/>
          <w:szCs w:val="20"/>
        </w:rPr>
        <w:fldChar w:fldCharType="end"/>
      </w:r>
      <w:r w:rsidRPr="003F4E60">
        <w:rPr>
          <w:rFonts w:ascii="Helvetica Neue" w:hAnsi="Helvetica Neue"/>
          <w:sz w:val="20"/>
          <w:szCs w:val="20"/>
        </w:rPr>
        <w:t>. This temporal fragmentation is compounded by genetic vulnerabilities,</w:t>
      </w:r>
      <w:r>
        <w:rPr>
          <w:rFonts w:ascii="Helvetica Neue" w:hAnsi="Helvetica Neue"/>
          <w:sz w:val="20"/>
          <w:szCs w:val="20"/>
        </w:rPr>
        <w:t xml:space="preserve"> such as the COMT Val158Met polymorphism, which reduces prefrontal dopamine tone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{"citationID":"5Qbbfci3","properties":{"formattedCitation":"(106,107)","plainCitation":"(106,107)","noteIndex":0},"citationItems":[{"id":5206,"uris":["http://zotero.org/users/9264269/items/6BG8QGF8"],"itemData":{"id":5206,"type":"article-journal","container-title":"Schizophrenia Research","DOI":"10.1016/j.schres.2016.03.019","ISSN":"09209964","issue":"1-2","journalAbbreviation":"Schizophrenia Research","language":"en","page":"94-100","source":"DOI.org (Crossref)","title":"COMT val158met polymorphism and molecular alterations in the human dorsolateral prefrontal cortex: Differences in controls and in schizophrenia","title-short":"COMT val158met polymorphism and molecular alterations in the human dorsolateral prefrontal cortex","volume":"173","author":[{"family":"Shukla","given":"Abhay A."},{"family":"Jha","given":"Manish"},{"family":"Birchfield","given":"Thomas"},{"family":"Mukherjee","given":"Shibani"},{"family":"Gleason","given":"Kelly"},{"family":"Abdisalaam","given":"Salim"},{"family":"Asaithamby","given":"Aroumougame"},{"family":"Adams-Huet","given":"Beverley"},{"family":"Tamminga","given":"Carol A."},{"family":"Ghose","given":"Subroto"}],"issued":{"date-parts":[["2016",5]]}}},{"id":5208,"uris":["http://zotero.org/users/9264269/items/JYMCR3WJ"],"itemData":{"id":5208,"type":"article-journal","abstract":"Working memory (WM) is critically mediated by dopaminergic tuning of signal-to-noise in cortical neural assemblies. However, little is known about the distributed neuronal networks impacted by dopaminergic modulation in the component processes of WM. Here, we used the genotype of the Val158Met polymorphism in catechol-\n              O\n              -methyltransferase (\n              COMT\n              ) as an index of relative cortical dopamine bioavailability and tuning efficiency, to examine the spatial and subprocess specificity by which dopaminergic modulation occurs within the prefrontal-parietal-striatal network during WM, thus empirically showing that dopamine plays key roles in updating and stabilizing new information at the neural systems level. In an event-related fMRI task dissociating component numerical WM subprocesses, baseline numerical size comparison engaged ventrolateral prefrontal cortical activation that correlated with\n              COMT\n              Val-allele load (\n              COMT\n              Val&gt;Met), while performing arithmetic transformations further engaged this genotype effect in dorsolateral prefrontal cortex (DLPFC), as well as in parietal and striatal regions. Critically, additional temporal integration of information in WM disproportionately engaged greater\n              COMT\n              Val&gt;Met effects only at DLPFC.\n              COMT\n              Val&gt;Met effects were also observed in DLPFC during encoding of new information into WM, but not at its subsequent retrieval. Thus, temporal updating operations, but less so the retrieval of already encoded representations, engaged relatively specific dopaminergic tuning at the DLPFC. Manipulating and rapidly updating representations were sensitive to dopaminergic modulation of neural signaling in a larger prefrontal-parietal-striatal network. These findings add to the integration of dopaminergic signaling in basic cortical assemblies with their roles in specific human brain networks during the orchestration of information processing in WM.","container-title":"The Journal of Neuroscience","DOI":"10.1523/JNEUROSCI.4041-07.2007","ISSN":"0270-6474, 1529-2401","issue":"49","journalAbbreviation":"J. Neurosci.","language":"en","license":"https://creativecommons.org/licenses/by-nc-sa/4.0/","page":"13393-13401","source":"DOI.org (Crossref)","title":"Catechol- &lt;i&gt;O&lt;/i&gt; -Methyltransferase Val158Met Modulation of Prefrontal–Parietal–Striatal Brain Systems during Arithmetic and Temporal Transformations in Working Memory","volume":"27","author":[{"family":"Tan","given":"Hao-Yang"},{"family":"Chen","given":"Qiang"},{"family":"Goldberg","given":"Terry E."},{"family":"Mattay","given":"Venkata S."},{"family":"Meyer-Lindenberg","given":"Andreas"},{"family":"Weinberger","given":"Daniel R."},{"family":"Callicott","given":"Joseph H."}],"issued":{"date-parts":[["2007",12,5]]}}}],"schema":"https://github.com/citation-style-language/schema/raw/master/csl-citation.json"}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(106,107)</w:t>
      </w:r>
      <w:r>
        <w:rPr>
          <w:rFonts w:ascii="Helvetica Neue" w:hAnsi="Helvetica Neue"/>
          <w:sz w:val="20"/>
          <w:szCs w:val="20"/>
        </w:rPr>
        <w:fldChar w:fldCharType="end"/>
      </w:r>
      <w:r>
        <w:rPr>
          <w:rFonts w:ascii="Helvetica Neue" w:hAnsi="Helvetica Neue"/>
          <w:sz w:val="20"/>
          <w:szCs w:val="20"/>
        </w:rPr>
        <w:t xml:space="preserve">, is associated with diminished top-down precision and altered prediction error signaling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O6IRxlgC","properties":{"formattedCitation":"(108)","plainCitation":"(108)","noteIndex":0},"citationItems":[{"id":5151,"uris":["http://zotero.org/users/9264269/items/WNHU3JJB"],"itemData":{"id":5151,"type":"article-journal","container-title":"NeuroImage","DOI":"10.1016/j.neuroimage.2021.117954","ISSN":"10538119","journalAbbreviation":"NeuroImage","language":"en","page":"117954","source":"DOI.org (Crossref)","title":"Brain predictive coding processes are associated to COMT gene Val158Met polymorphism","volume":"233","author":[{"family":"Bonetti","given":"L."},{"family":"Bruzzone","given":"S.E.P."},{"family":"Sedghi","given":"N.A."},{"family":"Haumann","given":"N.T."},{"family":"Paunio","given":"T."},{"family":"Kantojärvi","given":"K."},{"family":"Kliuchko","given":"M."},{"family":"Vuust","given":"P."},{"family":"Brattico","given":"E."}],"issued":{"date-parts":[["2021",6]]}}}],"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(108)</w:t>
      </w:r>
      <w:r>
        <w:rPr>
          <w:rFonts w:ascii="Helvetica Neue" w:hAnsi="Helvetica Neue"/>
          <w:sz w:val="20"/>
          <w:szCs w:val="20"/>
        </w:rPr>
        <w:fldChar w:fldCharType="end"/>
      </w:r>
      <w:r>
        <w:rPr>
          <w:rFonts w:ascii="Helvetica Neue" w:hAnsi="Helvetica Neue"/>
          <w:sz w:val="20"/>
          <w:szCs w:val="20"/>
        </w:rPr>
        <w:t xml:space="preserve">. </w:t>
      </w:r>
      <w:r w:rsidRPr="0097755B">
        <w:rPr>
          <w:rFonts w:ascii="Helvetica Neue" w:hAnsi="Helvetica Neue"/>
          <w:sz w:val="20"/>
          <w:szCs w:val="20"/>
        </w:rPr>
        <w:t>Consequently, dopaminergic dysregulation exacerbates predictive instability by failing to properly modulate both the gain and the temporal syntax of neural signals.</w:t>
      </w:r>
    </w:p>
    <w:p w14:paraId="63FAAF2C" w14:textId="77777777" w:rsidR="00602384"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p>
    <w:p w14:paraId="231F092C" w14:textId="77777777" w:rsidR="00602384"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Pr>
          <w:rFonts w:ascii="Helvetica Neue" w:hAnsi="Helvetica Neue"/>
          <w:sz w:val="20"/>
          <w:szCs w:val="20"/>
        </w:rPr>
        <w:t xml:space="preserve">Exogenous perturbations, such as cannabis use, appear to converge on these EIB pathways. Cannabinoid (CB1) receptor activation suppresses GABAergic and glutamatergic release, which can effectively disrupt the E/I balance and PV-interneuron inhibition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{"citationID":"FqSauEQQ","properties":{"formattedCitation":"(109\\uc0\\u8211{}111)","plainCitation":"(109–111)","noteIndex":0},"citationItems":[{"id":5155,"uris":["http://zotero.org/users/9264269/items/K3U3VF7X"],"itemData":{"id":5155,"type":"article-journal","abstract":"The endocannabinoid system is widespread throughout the central nervous system and its type 1 receptor (CB1) plays a crucial role in preventing the neurotoxicity caused by activation of glutamate N-methyl-D-aspartate receptors (NMDARs). Indeed, it is the activity of NMDARs themselves that provides the demands on the endogenous cannabinoids in order to control their calcium currents. Therefore, a physiological role of this system is to maintain NMDAR activity within safe limits, thereby protecting neural cells from excitotoxicity. Thus, cannabinoids may be able to control NMDAR overactivation-related neural dysfunctions; however, the major obstacles to the therapeutic utilization of these compounds are their psychotropic effects and negative inﬂuence on cognitive performance. Studies in humans have indicated that abuse of smoked cannabis can promote psychosis and even circumstantially precipitate symptoms of schizophrenia, although the latter appears to require a prior vulnerability in the individual. It is possible that cannabinoids provoke psychosis/schizophrenia reﬂecting a mechanism common to neuroprotection: the reduction of NMDAR activity. Cannabinoids are proposed to produce such effect by reducing the pre-synaptic release of glutamate or interfering with post-synaptic NMDARregulated signaling pathways. The efﬁcacy of such control requires the endocannabinoid system to apply its negative inﬂuence in a manner that is proportional to the strength of NMDAR signaling. Thus, cannabinoids acting at the wrong time or exerting an inappropriate inﬂuence on their receptors may cause NMDAR hypofunction. The purpose of the present review is to draw the attention of the reader to the newly described functional and physical CB1–NMDAR association, which may elucidate the scenario required for the rapid and efﬁcacious control of NMDAR activity. Whether alterations in these mechanisms may increase NMDAR hypofunction leading to vulnerability to schizophrenia will be outlined.","container-title":"Frontiers in Pharmacology","DOI":"10.3389/fphar.2013.00169","ISSN":"1663-9812","journalAbbreviation":"Front. Pharmacol.","language":"en","source":"DOI.org (Crossref)","title":"The cannabinoid receptor 1 associates with NMDA receptors to produce glutamatergic hypofunction: implications in psychosis and schizophrenia","title-short":"The cannabinoid receptor 1 associates with NMDA receptors to produce glutamatergic hypofunction","URL":"http://journal.frontiersin.org/article/10.3389/fphar.2013.00169/abstract","volume":"4","author":[{"family":"Sánchez-Blázquez","given":"Pilar"},{"family":"Rodríguez-Muñoz","given":"María"},{"family":"Garzón","given":"Javier"}],"accessed":{"date-parts":[["2025",10,18]]},"issued":{"date-parts":[["2014"]]}}},{"id":5158,"uris":["http://zotero.org/users/9264269/items/XTK4DBEJ"],"itemData":{"id":5158,"type":"article-journal","abstract":"Glutamate is probably the most important excitatory neurotransmitter in the brain. The glutamate N-methyl-D-aspartate receptor (NMDAR) is a calcium-gated channel that coordinates with G protein-coupled receptors (GPCRs) to establish the efficiency of the synaptic transmission. Cross-regulation between these receptors requires the concerted activity of the histidine triad nu</w:instrText>
      </w:r>
      <w:r>
        <w:rPr>
          <w:rFonts w:ascii="Helvetica Neue" w:hAnsi="Helvetica Neue" w:hint="eastAsia"/>
          <w:sz w:val="20"/>
          <w:szCs w:val="20"/>
        </w:rPr>
        <w:instrText>cleotide-binding protein 1 (HINT1) and of the sigma receptor type 1 (</w:instrText>
      </w:r>
      <w:r>
        <w:rPr>
          <w:rFonts w:ascii="Helvetica Neue" w:hAnsi="Helvetica Neue" w:hint="eastAsia"/>
          <w:sz w:val="20"/>
          <w:szCs w:val="20"/>
        </w:rPr>
        <w:instrText>σ</w:instrText>
      </w:r>
      <w:r>
        <w:rPr>
          <w:rFonts w:ascii="Helvetica Neue" w:hAnsi="Helvetica Neue" w:hint="eastAsia"/>
          <w:sz w:val="20"/>
          <w:szCs w:val="20"/>
        </w:rPr>
        <w:instrText>1R). Essential brain functions like learning, memory formation and consolidation, mood and behavioral responses to exogenous stimuli depend on the activity of NMDARs. In this biological context, endocannabinoids are released to retain NMDAR activity within physiological limits. The efficacy of such control depends on HINT1/</w:instrText>
      </w:r>
      <w:r>
        <w:rPr>
          <w:rFonts w:ascii="Helvetica Neue" w:hAnsi="Helvetica Neue" w:hint="eastAsia"/>
          <w:sz w:val="20"/>
          <w:szCs w:val="20"/>
        </w:rPr>
        <w:instrText>σ</w:instrText>
      </w:r>
      <w:r>
        <w:rPr>
          <w:rFonts w:ascii="Helvetica Neue" w:hAnsi="Helvetica Neue" w:hint="eastAsia"/>
          <w:sz w:val="20"/>
          <w:szCs w:val="20"/>
        </w:rPr>
        <w:instrText>1R assisting in the physical coupling between cannabinoid type 1 receptors (CB1Rs) and NMDARs to dampen their activity. Subsequently, the calcium-regulated HINT1/</w:instrText>
      </w:r>
      <w:r>
        <w:rPr>
          <w:rFonts w:ascii="Helvetica Neue" w:hAnsi="Helvetica Neue" w:hint="eastAsia"/>
          <w:sz w:val="20"/>
          <w:szCs w:val="20"/>
        </w:rPr>
        <w:instrText>σ</w:instrText>
      </w:r>
      <w:r>
        <w:rPr>
          <w:rFonts w:ascii="Helvetica Neue" w:hAnsi="Helvetica Neue" w:hint="eastAsia"/>
          <w:sz w:val="20"/>
          <w:szCs w:val="20"/>
        </w:rPr>
        <w:instrText>1R protein tandem uncouples CB1Rs to prevent NMDAR hypofunction. Thus, early recruitment or a disproportionate cannabinoid induced response can bring about excess dampening of NMDAR activity, impeding its adequate integration with GPCR signaling. Alternatively, this control circuit can apparently be overridden in situations where bursts of NMDAR overactivity provoke convulsive syndromes. In this review we will discuss the possible relevance of the HINT1/</w:instrText>
      </w:r>
      <w:r>
        <w:rPr>
          <w:rFonts w:ascii="Helvetica Neue" w:hAnsi="Helvetica Neue" w:hint="eastAsia"/>
          <w:sz w:val="20"/>
          <w:szCs w:val="20"/>
        </w:rPr>
        <w:instrText>σ</w:instrText>
      </w:r>
      <w:r>
        <w:rPr>
          <w:rFonts w:ascii="Helvetica Neue" w:hAnsi="Helvetica Neue" w:hint="eastAsia"/>
          <w:sz w:val="20"/>
          <w:szCs w:val="20"/>
        </w:rPr>
        <w:instrText>1R</w:instrText>
      </w:r>
      <w:r>
        <w:rPr>
          <w:rFonts w:ascii="Helvetica Neue" w:hAnsi="Helvetica Neue"/>
          <w:sz w:val="20"/>
          <w:szCs w:val="20"/>
        </w:rPr>
        <w:instrText xml:space="preserve"> tandem and its use by endocannabinoids to diminish NMDAR activity and their implications in psychosis/schizophrenia, as well as in NMDAR-mediated convulsive episodes.","container-title":"Oncotarget","DOI":"10.18632/oncotarget.10095","ISSN":"1949-2553","issue":"34","journalAbbreviation":"Oncotarget","language":"en","page":"55840-55862","source":"DOI.org (Crossref)","title":"Endocannabinoid control of glutamate NMDA receptors: the therapeutic potential and consequences of dysfunction","title-short":"Endocannabinoid control of glutamate NMDA receptors","volume":"7","author":[{"family":"Rodríguez-Muñoz","given":"María"},{"family":"Sánchez-Blázquez","given":"Pilar"},{"family":"Merlos","given":"Manuel"},{"family":"Garzón-Niño","given":"Javier"}],"issued":{"date-parts":[["2016",8,23]]}}},{"id":5161,"uris":["http://zotero.org/users/9264269/items/52498ACN"],"itemData":{"id":5161,"type":"article-journal","container-title":"Molecular Psychiatry","DOI":"10.1038/mp.2014.14","ISSN":"1359-4184, 1476-5578","issue":"5","journalAbbreviation":"Mol Psychiatry","language":"en","page":"536-543","source":"DOI.org (Crossref)","title":"CB1 cannabinoid receptor stimulation during adolescence impairs the maturation of GABA function in the adult rat prefrontal cortex","volume":"19","author":[{"family":"Cass","given":"D K"},{"family":"Flores-Barrera","given":"E"},{"family":"Thomases","given":"D R"},{"family":"Vital","given":"W F"},{"family":"Caballero","given":"A"},{"family":"Tseng","given":"K Y"}],"issued":{"date-parts":[["2014",5]]}}}],"schema":"https://github.com/citation-style-language/schema/raw/master/csl-citation.json"}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cs="Times New Roman"/>
          <w:sz w:val="20"/>
        </w:rPr>
        <w:t>(109–111)</w:t>
      </w:r>
      <w:r>
        <w:rPr>
          <w:rFonts w:ascii="Helvetica Neue" w:hAnsi="Helvetica Neue"/>
          <w:sz w:val="20"/>
          <w:szCs w:val="20"/>
        </w:rPr>
        <w:fldChar w:fldCharType="end"/>
      </w:r>
      <w:r w:rsidRPr="008027BF">
        <w:rPr>
          <w:rFonts w:ascii="Helvetica Neue" w:hAnsi="Helvetica Neue"/>
          <w:sz w:val="20"/>
          <w:szCs w:val="20"/>
        </w:rPr>
        <w:t>.</w:t>
      </w:r>
      <w:r>
        <w:rPr>
          <w:rFonts w:ascii="Helvetica Neue" w:hAnsi="Helvetica Neue"/>
          <w:sz w:val="20"/>
          <w:szCs w:val="20"/>
        </w:rPr>
        <w:t xml:space="preserve"> Developmental THC exposure has been shown to impair the generation of synchronized oscillations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{"citationID":"gkBDek1E","properties":{"formattedCitation":"(111)","plainCitation":"(111)","noteIndex":0},"citationItems":[{"id":5161,"uris":["http://zotero.org/users/9264269/items/52498ACN"],"itemData":{"id":5161,"type":"article-journal","container-title":"Molecular Psychiatry","DOI":"10.1038/mp.2014.14","ISSN":"1359-4184, 1476-5578","issue":"5","journalAbbreviation":"Mol Psychiatry","language":"en","page":"536-543","source":"DOI.org (Crossref)","title":"CB1 cannabinoid receptor stimulation during adolescence impairs the maturation of GABA function in the adult rat prefrontal cortex","volume":"19","author":[{"family":"Cass","given":"D K"},{"family":"Flores-Barrera","given":"E"},{"family":"Thomases","given":"D R"},{"family":"Vital","given":"W F"},{"family":"Caballero","given":"A"},{"family":"Tseng","given":"K Y"}],"issued":{"date-parts":[["2014",5]]}}}],"schema":"https://github.com/citation-style-language/schema/raw/master/csl-citation.json"}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(111)</w:t>
      </w:r>
      <w:r>
        <w:rPr>
          <w:rFonts w:ascii="Helvetica Neue" w:hAnsi="Helvetica Neue"/>
          <w:sz w:val="20"/>
          <w:szCs w:val="20"/>
        </w:rPr>
        <w:fldChar w:fldCharType="end"/>
      </w:r>
      <w:r w:rsidRPr="008027BF">
        <w:rPr>
          <w:rFonts w:ascii="Helvetica Neue" w:hAnsi="Helvetica Neue"/>
          <w:sz w:val="20"/>
          <w:szCs w:val="20"/>
        </w:rPr>
        <w:t>,</w:t>
      </w:r>
      <w:r>
        <w:rPr>
          <w:rFonts w:ascii="Helvetica Neue" w:hAnsi="Helvetica Neue"/>
          <w:sz w:val="20"/>
          <w:szCs w:val="20"/>
        </w:rPr>
        <w:t xml:space="preserve"> and THC-induced gamma-band disruption correlates directly with psychosis-relevant perceptual distortions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{"citationID":"oqyl0PiM","properties":{"formattedCitation":"(112)","plainCitation":"(112)","noteIndex":0},"citationItems":[{"id":5159,"uris":["http://zotero.org/users/9264269/items/9CAIQKU3"],"itemData":{"id":5159,"type":"a</w:instrText>
      </w:r>
      <w:r>
        <w:rPr>
          <w:rFonts w:ascii="Helvetica Neue" w:hAnsi="Helvetica Neue" w:hint="eastAsia"/>
          <w:sz w:val="20"/>
          <w:szCs w:val="20"/>
        </w:rPr>
        <w:instrText>rticle-journal","container-title":"Neuropsychopharmacology","DOI":"10.1038/npp.2015.53","ISSN":"0893-133X, 1740-634X","issue":"9","journalAbbreviation":"Neuropsychopharmacol","language":"en","page":"2124-2134","source":"DOI.org (Crossref)","title":"</w:instrText>
      </w:r>
      <w:r>
        <w:rPr>
          <w:rFonts w:ascii="Helvetica Neue" w:hAnsi="Helvetica Neue" w:hint="eastAsia"/>
          <w:sz w:val="20"/>
          <w:szCs w:val="20"/>
        </w:rPr>
        <w:instrText>Δ</w:instrText>
      </w:r>
      <w:r>
        <w:rPr>
          <w:rFonts w:ascii="Helvetica Neue" w:hAnsi="Helvetica Neue" w:hint="eastAsia"/>
          <w:sz w:val="20"/>
          <w:szCs w:val="20"/>
        </w:rPr>
        <w:instrText>9-THC Disrupts Gamma (</w:instrText>
      </w:r>
      <w:r>
        <w:rPr>
          <w:rFonts w:ascii="Helvetica Neue" w:hAnsi="Helvetica Neue" w:hint="eastAsia"/>
          <w:sz w:val="20"/>
          <w:szCs w:val="20"/>
        </w:rPr>
        <w:instrText>γ</w:instrText>
      </w:r>
      <w:r>
        <w:rPr>
          <w:rFonts w:ascii="Helvetica Neue" w:hAnsi="Helvetica Neue" w:hint="eastAsia"/>
          <w:sz w:val="20"/>
          <w:szCs w:val="20"/>
        </w:rPr>
        <w:instrText>)-Band Neural Oscillations in Humans","volume":"40","author":[{"family":"Cortes-Briones","given":"Jose"},{"family":"Skosnik","given":"Patrick D"},{"family":"Mathalon","given":"Daniel"},{"family":"Cahill","given":"John"},{"family":"Pittma</w:instrText>
      </w:r>
      <w:r>
        <w:rPr>
          <w:rFonts w:ascii="Helvetica Neue" w:hAnsi="Helvetica Neue"/>
          <w:sz w:val="20"/>
          <w:szCs w:val="20"/>
        </w:rPr>
        <w:instrText xml:space="preserve">n","given":"Brian"},{"family":"Williams","given":"Ashley"},{"family":"Sewell","given":"R Andrew"},{"family":"Ranganathan","given":"Mohini"},{"family":"Roach","given":"Brian"},{"family":"Ford","given":"Judith"},{"family":"D'Souza","given":"Deepak Cyril"}],"issued":{"date-parts":[["2015",8]]}}}],"schema":"https://github.com/citation-style-language/schema/raw/master/csl-citation.json"}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(112)</w:t>
      </w:r>
      <w:r>
        <w:rPr>
          <w:rFonts w:ascii="Helvetica Neue" w:hAnsi="Helvetica Neue"/>
          <w:sz w:val="20"/>
          <w:szCs w:val="20"/>
        </w:rPr>
        <w:fldChar w:fldCharType="end"/>
      </w:r>
      <w:r w:rsidRPr="008027BF">
        <w:rPr>
          <w:rFonts w:ascii="Helvetica Neue" w:hAnsi="Helvetica Neue"/>
          <w:sz w:val="20"/>
          <w:szCs w:val="20"/>
        </w:rPr>
        <w:t>.</w:t>
      </w:r>
      <w:r>
        <w:rPr>
          <w:rFonts w:ascii="Helvetica Neue" w:hAnsi="Helvetica Neue"/>
          <w:sz w:val="20"/>
          <w:szCs w:val="20"/>
        </w:rPr>
        <w:t xml:space="preserve"> Furthermore, adolescent cannabis use interacts with existing dopaminergic vulnerabilies (e.g. the Val genotype) to potentially amplify psychosis risk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{"citationID":"wQY7Mwbn","properties":{"formattedCitation":"(113)","plainCitation":"(113)","noteIndex":0},"citationItems":[{"id":5153,"uris":["http://zotero.org/users/9264269/items/HK7NRM5Q"],"itemData":{"id":5153,"type":"article-journal","container-title":"Schizophrenia Research","DOI":"10.1016/j.schres.2016.03.015","ISSN":"09209964","issue":"1-3","journalAbbreviation":"Schizophrenia Research","language":"en","page":"24-28","source":"DOI.org (Crossref)","title":"COMT Val 158 Met genotype and cannabis use in people with an At Risk Mental State for psychosis: Exploring Gene x Environment interactions","title-short":"COMT Val 158 Met genotype and cannabis use in people with an At Risk Mental State for psychosis","volume":"174","author":[{"family":"Nieman","given":"Dorien H."},{"family":"Dragt","given":"Sara"},{"family":"Van Duin","given":"Esther D.A."},{"family":"Denneman","given":"Nadine"},{"family":"Overbeek","given":"Jozefien M."},{"family":"De Haan","given":"Lieuwe"},{"family":"Rietdijk","given":"Judith"},{"family":"Ising","given":"Helga K."},{"family":"Klaassen","given":"Rianne M.C."},{"family":"Van Amelsvoort","given":"Thérèse"},{"family":"Wunderink","given":"Lex"},{"family":"Van Der Gaag","given":"Mark"},{"family":"Linszen","given":"Don H."}],"issued":{"date-parts":[["2016",7]]}}}],"schema":"https://github.com/citation-style-language/schema/raw/master/csl-citation.json"}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(113)</w:t>
      </w:r>
      <w:r>
        <w:rPr>
          <w:rFonts w:ascii="Helvetica Neue" w:hAnsi="Helvetica Neue"/>
          <w:sz w:val="20"/>
          <w:szCs w:val="20"/>
        </w:rPr>
        <w:fldChar w:fldCharType="end"/>
      </w:r>
      <w:r>
        <w:rPr>
          <w:rFonts w:ascii="Helvetica Neue" w:hAnsi="Helvetica Neue"/>
          <w:sz w:val="20"/>
          <w:szCs w:val="20"/>
        </w:rPr>
        <w:t>.</w:t>
      </w:r>
    </w:p>
    <w:p w14:paraId="2CEE136A" w14:textId="77777777" w:rsidR="00602384" w:rsidRDefault="00602384" w:rsidP="00602384">
      <w:r w:rsidRPr="008027BF">
        <w:rPr>
          <w:rFonts w:ascii="Helvetica Neue" w:eastAsia="Helvetica Neue" w:hAnsi="Helvetica Neue" w:cs="Helvetica Neue"/>
          <w:sz w:val="20"/>
          <w:szCs w:val="20"/>
        </w:rPr>
        <w:lastRenderedPageBreak/>
        <w:t xml:space="preserve">Taken together, endogenous vulnerability (NMDA hypofunction, PV-interneuron dysfunction, dopaminergic gain dysregulation) and exogenous perturbation (THC) </w:t>
      </w:r>
      <w:r>
        <w:rPr>
          <w:rFonts w:ascii="Helvetica Neue" w:eastAsia="Helvetica Neue" w:hAnsi="Helvetica Neue" w:cs="Helvetica Neue"/>
          <w:sz w:val="20"/>
          <w:szCs w:val="20"/>
        </w:rPr>
        <w:t xml:space="preserve">may produce a shared dynamical disturbance: impaired oscillatory synchrony with millisecond-scale temporal imprecision. </w:t>
      </w:r>
      <w:r w:rsidRPr="008203A7">
        <w:rPr>
          <w:rFonts w:ascii="Helvetica Neue" w:eastAsia="Helvetica Neue" w:hAnsi="Helvetica Neue" w:cs="Helvetica Neue"/>
          <w:sz w:val="20"/>
          <w:szCs w:val="20"/>
        </w:rPr>
        <w:t>This shared neurobiological pathway could bridge established cellular alterations directly to the temporally imprecis</w:t>
      </w:r>
      <w:r>
        <w:rPr>
          <w:rFonts w:ascii="Helvetica Neue" w:eastAsia="Helvetica Neue" w:hAnsi="Helvetica Neue" w:cs="Helvetica Neue"/>
          <w:sz w:val="20"/>
          <w:szCs w:val="20"/>
        </w:rPr>
        <w:t xml:space="preserve">ion underlying </w:t>
      </w:r>
      <w:r w:rsidRPr="008203A7">
        <w:rPr>
          <w:rFonts w:ascii="Helvetica Neue" w:eastAsia="Helvetica Neue" w:hAnsi="Helvetica Neue" w:cs="Helvetica Neue"/>
          <w:sz w:val="20"/>
          <w:szCs w:val="20"/>
        </w:rPr>
        <w:t>predictive coding in schizophrenia</w:t>
      </w:r>
    </w:p>
    <w:p w14:paraId="59CE4B60" w14:textId="77777777" w:rsidR="00602384" w:rsidRDefault="00602384" w:rsidP="00602384">
      <w:pPr>
        <w:pStyle w:val="Body"/>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p>
    <w:p w14:paraId="64975890" w14:textId="77777777" w:rsidR="00A561A3" w:rsidRDefault="00A561A3" w:rsidP="00696F4D">
      <w:pPr>
        <w:rPr>
          <w:b/>
          <w:bCs/>
        </w:rPr>
      </w:pPr>
    </w:p>
    <w:p w14:paraId="3E10C229" w14:textId="77777777" w:rsidR="00DF1A4F" w:rsidRDefault="00DF1A4F" w:rsidP="00DF1A4F">
      <w:pPr>
        <w:pStyle w:val="p1"/>
        <w:spacing w:line="480" w:lineRule="auto"/>
        <w:jc w:val="both"/>
        <w:rPr>
          <w:rFonts w:asciiTheme="minorHAnsi" w:hAnsiTheme="minorHAnsi"/>
          <w:sz w:val="20"/>
          <w:szCs w:val="20"/>
        </w:rPr>
      </w:pPr>
    </w:p>
    <w:p w14:paraId="23F567F4" w14:textId="77777777" w:rsidR="00DF1A4F" w:rsidRDefault="00DF1A4F" w:rsidP="00DF1A4F">
      <w:pPr>
        <w:pStyle w:val="MPHeader2"/>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pPr>
      <w:r w:rsidRPr="00C35C43">
        <w:t>Box 2 | Integrating Abnormal Slowness with Monoamines, Excitation-Inhibition Balance, and Predictive Rigidity in Depression</w:t>
      </w:r>
    </w:p>
    <w:p w14:paraId="18A1B2F1" w14:textId="77777777" w:rsidR="00DF1A4F" w:rsidRDefault="00DF1A4F" w:rsidP="00DF1A4F">
      <w:pPr>
        <w:pStyle w:val="p1"/>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sidRPr="002A4CCD">
        <w:rPr>
          <w:rFonts w:ascii="Helvetica Neue" w:hAnsi="Helvetica Neue"/>
          <w:sz w:val="20"/>
          <w:szCs w:val="20"/>
        </w:rPr>
        <w:t>A large body of evidence suggests that the abnormal neural slowing observed in major depressive disorder (MDD) may be linked to dysregulation of monoaminergic neurotransmission</w:t>
      </w:r>
      <w:r>
        <w:rPr>
          <w:rFonts w:ascii="Helvetica Neue" w:hAnsi="Helvetica Neue"/>
          <w:sz w:val="20"/>
          <w:szCs w:val="20"/>
        </w:rPr>
        <w:t xml:space="preserve"> </w:t>
      </w:r>
      <w:r w:rsidRPr="00DC77F8">
        <w:rPr>
          <w:rFonts w:ascii="Helvetica Neue" w:hAnsi="Helvetica Neue"/>
          <w:sz w:val="20"/>
          <w:szCs w:val="20"/>
        </w:rPr>
        <w:t>The classic Monoamine Hypothesis attributes depression to deficits in serotonin, norepinephrine, and dopamine. However, recent evidence reframes these deficits as a failure of synaptic maintenance. Thompson et al. (2015) demonstrate that monoamines are required to sustain excitatory synaptic strength; their depletion leads to the internalization of AMPA receptors and synaptic atrophy in the prefrontal cortex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sNsAJdli","properties":{"unsorted":false,"formattedCitation":"(147)","plainCitation":"(147)","noteIndex":0},"citationItems":[{"id":5421,"uris":["http://zotero.org/users/9264269/items/XXWGVTBA"],"itemData":{"id":5421,"type":"article-journal","container-title":"Trends in Neurosciences","DOI":"10.1016/j.tins.2015.03.003","ISSN":"01662236","issue":"5","journalAbbreviation":"Trends in Neurosciences","language":"en","page":"279-294","source":"DOI.org (Crossref)","title":"An excitatory synapse hypothesis of depression","volume":"38","author":[{"family":"Thompson","given":"Scott M."},{"family":"Kallarackal","given":"Angy J."},{"family":"Kvarta","given":"Mark D."},{"family":"Van Dyke","given":"Adam M."},{"family":"LeGates","given":"Tara A."},{"family":"Cai","given":"Xiang"}],"issued":{"date-parts":[["2015",5]]}}}],"schema":"https://github.com/citation-style-language/schema/raw/master/csl-citation.json"}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(147)</w:t>
      </w:r>
      <w:r>
        <w:rPr>
          <w:rFonts w:ascii="Helvetica Neue" w:hAnsi="Helvetica Neue"/>
          <w:sz w:val="20"/>
          <w:szCs w:val="20"/>
        </w:rPr>
        <w:fldChar w:fldCharType="end"/>
      </w:r>
      <w:r w:rsidRPr="00DC77F8">
        <w:rPr>
          <w:rFonts w:ascii="Helvetica Neue" w:hAnsi="Helvetica Neue"/>
          <w:sz w:val="20"/>
          <w:szCs w:val="20"/>
        </w:rPr>
        <w:t>]. Simultaneously, reduced dopaminergic tone facilitates the accumulation of Perineuronal Nets (PNNs)—rigid protein scaffolds that wrap around inhibitory interneurons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{"citationID":"y5CDCnMC","properties":{"unsorted":false,"formattedCitation":"(148)","plainCitation":"(148)","noteIndex":0},"citationItems":[{"id":5420,"uris":["http://zotero.org/users/9264269/items/UKVDIWNR"],"itemData":{"id":5420,"type":"article-journal","abstract":"Major depressive disorder (MDD) has been associated with deficits in working memory as well as underlying gamma oscillation power. Consistent with this, overall reductions in cortical excitation have also been described with MDD. In previous work, we have demonstrated that the monoamine reuptake inhibitor venlafaxine increases gamma oscillation power in ex vivo hippocampal slices and that this is associated with concomitant increases in pyramidal arbour and reduced levels of plasticity-restricting perineuronal nets (PNNs). In the present study, we have examined the effects of chronic treatment with pramipexole (PPX), a D3 dopamine receptor agonist, for its effects on gamma oscillation power as measured by in vivo electroencephalography (EEG) recordings in female BALB/c and C57Bl6 mice. We observe a modest but significant increase in 20–50 Hz gamma power with PPX in both strains. Additionally, biochemical analysis of prefrontal cortex lysates from PPX-treated BALB/c mice shows a number of changes that could contribute to, or follow from, increased pyramidal excitability and/or gamma power. PPX-associated changes include reduced levels of specific PNN components as well as tissue inhibitor of matrix metalloproteases-1 (TIMP-1), which inhibits long-term potentiation of synaptic transmission. Consistent with its effects on gamma power, PNN proteins and TIMP-1, chronic PPX treatment also improves working memory and reduces anhedonia. Together these results add to an emerging literature linking extracellular matrix and/or gamma oscillation power to both mood and cognition.","container-title":"European Journal of Neuroscience","DOI":"10.1111/ejn.16570","ISSN":"0953-816X, 1460-9568","issue":"10","journalAbbreviation":"Eur J of Neuroscience","language":"en","page":"6490-6508","source":"DOI.org (Crossref)","title":"Pramipexole, a D3 receptor agonist, increases cortical gamma power and biochemical correlates of cortical excitation; implications for mood disorders","volume":"60","author":[{"family":"Gilbert","given":"Karli F."},{"family":"Amontree","given":"Matthew"},{"family":"Deasy","given":"Samantha"},{"family":"Ma","given":"Junfeng"},{"family":"Conant","given":"Katherine"}],"issued":{"date-parts":[["2024",11]]}}}],"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(148)</w:t>
      </w:r>
      <w:r>
        <w:rPr>
          <w:rFonts w:ascii="Helvetica Neue" w:hAnsi="Helvetica Neue"/>
          <w:sz w:val="20"/>
          <w:szCs w:val="20"/>
        </w:rPr>
        <w:fldChar w:fldCharType="end"/>
      </w:r>
      <w:r w:rsidRPr="00DC77F8">
        <w:rPr>
          <w:rFonts w:ascii="Helvetica Neue" w:hAnsi="Helvetica Neue"/>
          <w:sz w:val="20"/>
          <w:szCs w:val="20"/>
        </w:rPr>
        <w:t>].</w:t>
      </w:r>
    </w:p>
    <w:p w14:paraId="0E5A7CFA" w14:textId="77777777" w:rsidR="00DF1A4F" w:rsidRDefault="00DF1A4F" w:rsidP="00DF1A4F">
      <w:pPr>
        <w:pStyle w:val="p1"/>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rPr>
          <w:rFonts w:ascii="Helvetica Neue" w:hAnsi="Helvetica Neue"/>
          <w:sz w:val="20"/>
          <w:szCs w:val="20"/>
        </w:rPr>
      </w:pPr>
      <w:r>
        <w:rPr>
          <w:rFonts w:ascii="Helvetica Neue" w:hAnsi="Helvetica Neue"/>
          <w:sz w:val="20"/>
          <w:szCs w:val="20"/>
        </w:rPr>
        <w:t xml:space="preserve">At the synaptic level, </w:t>
      </w:r>
      <w:r w:rsidRPr="00662FAA">
        <w:rPr>
          <w:rFonts w:ascii="Helvetica Neue" w:hAnsi="Helvetica Neue"/>
          <w:sz w:val="20"/>
          <w:szCs w:val="20"/>
        </w:rPr>
        <w:t>this combination of excitatory synaptic loss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ZrVF4irt","properties":{"unsorted":false,"formattedCitation":"(147)","plainCitation":"(147)","noteIndex":0},"citationItems":[{"id":5421,"uris":["http://zotero.org/users/9264269/items/XXWGVTBA"],"itemData":{"id":5421,"type":"article-journal","container-title":"Trends in Neurosciences","DOI":"10.1016/j.tins.2015.03.003","ISSN":"01662236","issue":"5","journalAbbreviation":"Trends in Neurosciences","language":"en","page":"279-294","source":"DOI.org (Crossref)","title":"An excitatory synapse hypothesis of depression","volume":"38","author":[{"family":"Thompson","given":"Scott M."},{"family":"Kallarackal","given":"Angy J."},{"family":"Kvarta","given":"Mark D."},{"family":"Van Dyke","given":"Adam M."},{"family":"LeGates","given":"Tara A."},{"family":"Cai","given":"Xiang"}],"issued":{"date-parts":[["2015",5]]}}}],"schema":"https://github.com/citation-style-language/schema/raw/master/csl-citation.json"}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(147)</w:t>
      </w:r>
      <w:r>
        <w:rPr>
          <w:rFonts w:ascii="Helvetica Neue" w:hAnsi="Helvetica Neue"/>
          <w:sz w:val="20"/>
          <w:szCs w:val="20"/>
        </w:rPr>
        <w:fldChar w:fldCharType="end"/>
      </w:r>
      <w:r w:rsidRPr="00662FAA">
        <w:rPr>
          <w:rFonts w:ascii="Helvetica Neue" w:hAnsi="Helvetica Neue"/>
          <w:sz w:val="20"/>
          <w:szCs w:val="20"/>
        </w:rPr>
        <w:t>] and increased inhibitory scaffolding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{"citationID":"ztjTxV4w","properties":{"unsorted":false,"formattedCitation":"(148)","plainCitation":"(148)","noteIndex":0},"citationItems":[{"id":5420,"uris":["http://zotero.org/users/9264269/items/UKVDIWNR"],"itemData":{"id":5420,"type":"article-journal","abstract":"Major depressive disorder (MDD) has been associated with deficits in working memory as well as underlying gamma oscillation power. Consistent with this, overall reductions in cortical excitation have also been described with MDD. In previous work, we have demonstrated that the monoamine reuptake inhibitor venlafaxine increases gamma oscillation power in ex vivo hippocampal slices and that this is associated with concomitant increases in pyramidal arbour and reduced levels of plasticity-restricting perineuronal nets (PNNs). In the present study, we have examined the effects of chronic treatment with pramipexole (PPX), a D3 dopamine receptor agonist, for its effects on gamma oscillation power as measured by in vivo electroencephalography (EEG) recordings in female BALB/c and C57Bl6 mice. We observe a modest but significant increase in 20–50 Hz gamma power with PPX in both strains. Additionally, biochemical analysis of prefrontal cortex lysates from PPX-treated BALB/c mice shows a number of changes that could contribute to, or follow from, increased pyramidal excitability and/or gamma power. PPX-associated changes include reduced levels of specific PNN components as well as tissue inhibitor of matrix metalloproteases-1 (TIMP-1), which inhibits long-term potentiation of synaptic transmission. Consistent with its effects on gamma power, PNN proteins and TIMP-1, chronic PPX treatment also improves working memory and reduces anhedonia. Together these results add to an emerging literature linking extracellular matrix and/or gamma oscillation power to both mood and cognition.","container-title":"European Journal of Neuroscience","DOI":"10.1111/ejn.16570","ISSN":"0953-816X, 1460-9568","issue":"10","journalAbbreviation":"Eur J of Neuroscience","language":"en","page":"6490-6508","source":"DOI.org (Crossref)","title":"Pramipexole, a D3 receptor agonist, increases cortical gamma power and biochemical correlates of cortical excitation; implications for mood disorders","volume":"60","author":[{"family":"Gilbert","given":"Karli F."},{"family":"Amontree","given":"Matthew"},{"family":"Deasy","given":"Samantha"},{"family":"Ma","given":"Junfeng"},{"family":"Conant","given":"Katherine"}],"issued":{"date-parts":[["2024",11]]}}}],"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(148)</w:t>
      </w:r>
      <w:r>
        <w:rPr>
          <w:rFonts w:ascii="Helvetica Neue" w:hAnsi="Helvetica Neue"/>
          <w:sz w:val="20"/>
          <w:szCs w:val="20"/>
        </w:rPr>
        <w:fldChar w:fldCharType="end"/>
      </w:r>
      <w:r w:rsidRPr="00662FAA">
        <w:rPr>
          <w:rFonts w:ascii="Helvetica Neue" w:hAnsi="Helvetica Neue"/>
          <w:sz w:val="20"/>
          <w:szCs w:val="20"/>
        </w:rPr>
        <w:t>]</w:t>
      </w:r>
      <w:r>
        <w:rPr>
          <w:rFonts w:ascii="Helvetica Neue" w:hAnsi="Helvetica Neue"/>
          <w:sz w:val="20"/>
          <w:szCs w:val="20"/>
        </w:rPr>
        <w:t xml:space="preserve"> directly modulate the balance of excitatory and inhibitory (E/I) signaling, </w:t>
      </w:r>
      <w:r w:rsidRPr="00B44C91">
        <w:rPr>
          <w:rFonts w:ascii="Helvetica Neue" w:hAnsi="Helvetica Neue"/>
          <w:sz w:val="20"/>
          <w:szCs w:val="20"/>
        </w:rPr>
        <w:t>resulting in a state of cortical hypo-excitability. These physical structures restrict synaptic remodeling, effectively locking the local circuit into a fixed configuration. The loss of excitatory drive (AMPA) and increased inhibition (PNNs) selectively suppresses high-frequency gamma oscillations (30–80 Hz), which are required for rapid information processing. With fast dynamics suppressed, the neural power spectrum tilts toward lower frequencies (theta/alpha)</w:t>
      </w:r>
      <w:r>
        <w:rPr>
          <w:rFonts w:ascii="Helvetica Neue" w:hAnsi="Helvetica Neue"/>
          <w:sz w:val="20"/>
          <w:szCs w:val="20"/>
        </w:rPr>
        <w:t xml:space="preserve">. In MDD, disrupted monoaminergic tone correlates with cortical dynamics that systematically skew toward slower timescales, evidenced by decreased occipital/visual median frequency, stronger coupling to DMN/subcortex, longer dwell times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{"citationID":"xC14E0Ko","properties":{"formattedCitation":"(140,146)","plainCitation":"(140,146)","noteIndex":0},"citationItems":[{"id":5178,"uris":["http://zotero.org/users/9264269/items/I5AUIYST"],"itemData":{"id":5178,"type":"article-journal","container-title":"Journal of Affective Disorders","DOI":"10.1016/j.jad.2025.01.061","ISSN":"01650327","journalAbbreviation":"Journal of Affective Disorders","language":"en","page":"523-530","source":"DOI.org (Crossref)","title":"Abnormally slow dynamics in occipital cortex of depression","volume":"374","author":[{"family":"Scalabrini","given":"Andrea"},{"family":"Poletti","given":"Sara"},{"family":"Vai","given":"Benedetta"},{"family":"Paolini","given":"Marco"},{"family":"Gao","given":"Yuan"},{"family":"Hu","given":"Yu-Ting"},{"family":"Liu","given":"Dong-Yu"},{"family":"Song","given":"Xue Mei"},{"family":"Tan","given":"Zhong-Lin"},{"family":"Mucci","given":"Clara"},{"family":"Colombo","given":"Cristina"},{"family":"Benedetti","given":"Francesco"},{"family":"Northoff","given":"Georg"}],"issued":{"date-parts":[["2025",4]]}}},{"id":5173,"uris":["http://zotero.org/users/9264269/items/JKXJFVPE"],"itemData":{"id":5173,"type":"article-journal","abstract":"Abstract\n            \n        </w:instrText>
      </w:r>
      <w:r>
        <w:rPr>
          <w:rFonts w:ascii="Helvetica Neue" w:hAnsi="Helvetica Neue" w:hint="eastAsia"/>
          <w:sz w:val="20"/>
          <w:szCs w:val="20"/>
        </w:rPr>
        <w:instrText xml:space="preserve">      Resting</w:instrText>
      </w:r>
      <w:r>
        <w:rPr>
          <w:rFonts w:ascii="Helvetica Neue" w:hAnsi="Helvetica Neue" w:hint="eastAsia"/>
          <w:sz w:val="20"/>
          <w:szCs w:val="20"/>
        </w:rPr>
        <w:instrText>‐</w:instrText>
      </w:r>
      <w:r>
        <w:rPr>
          <w:rFonts w:ascii="Helvetica Neue" w:hAnsi="Helvetica Neue" w:hint="eastAsia"/>
          <w:sz w:val="20"/>
          <w:szCs w:val="20"/>
        </w:rPr>
        <w:instrText>state fMRI (RS</w:instrText>
      </w:r>
      <w:r>
        <w:rPr>
          <w:rFonts w:ascii="Helvetica Neue" w:hAnsi="Helvetica Neue" w:hint="eastAsia"/>
          <w:sz w:val="20"/>
          <w:szCs w:val="20"/>
        </w:rPr>
        <w:instrText>‐</w:instrText>
      </w:r>
      <w:r>
        <w:rPr>
          <w:rFonts w:ascii="Helvetica Neue" w:hAnsi="Helvetica Neue" w:hint="eastAsia"/>
          <w:sz w:val="20"/>
          <w:szCs w:val="20"/>
        </w:rPr>
        <w:instrText>fMRI) has become a useful tool to investigate the connectivity structure of mental health disorders. In the case of major depressive disorder (MDD), recent studies regarding the RS</w:instrText>
      </w:r>
      <w:r>
        <w:rPr>
          <w:rFonts w:ascii="Helvetica Neue" w:hAnsi="Helvetica Neue" w:hint="eastAsia"/>
          <w:sz w:val="20"/>
          <w:szCs w:val="20"/>
        </w:rPr>
        <w:instrText>‐</w:instrText>
      </w:r>
      <w:r>
        <w:rPr>
          <w:rFonts w:ascii="Helvetica Neue" w:hAnsi="Helvetica Neue" w:hint="eastAsia"/>
          <w:sz w:val="20"/>
          <w:szCs w:val="20"/>
        </w:rPr>
        <w:instrText>fMRI have found abnormal connectivity in several regions of the brain, particularly in the default mode network (DMN). Thus, the relevance of the DMN to self</w:instrText>
      </w:r>
      <w:r>
        <w:rPr>
          <w:rFonts w:ascii="Helvetica Neue" w:hAnsi="Helvetica Neue" w:hint="eastAsia"/>
          <w:sz w:val="20"/>
          <w:szCs w:val="20"/>
        </w:rPr>
        <w:instrText>‐</w:instrText>
      </w:r>
      <w:r>
        <w:rPr>
          <w:rFonts w:ascii="Helvetica Neue" w:hAnsi="Helvetica Neue" w:hint="eastAsia"/>
          <w:sz w:val="20"/>
          <w:szCs w:val="20"/>
        </w:rPr>
        <w:instrText>referential thoughts and ruminations has made the use of the resting</w:instrText>
      </w:r>
      <w:r>
        <w:rPr>
          <w:rFonts w:ascii="Helvetica Neue" w:hAnsi="Helvetica Neue" w:hint="eastAsia"/>
          <w:sz w:val="20"/>
          <w:szCs w:val="20"/>
        </w:rPr>
        <w:instrText>‐</w:instrText>
      </w:r>
      <w:r>
        <w:rPr>
          <w:rFonts w:ascii="Helvetica Neue" w:hAnsi="Helvetica Neue" w:hint="eastAsia"/>
          <w:sz w:val="20"/>
          <w:szCs w:val="20"/>
        </w:rPr>
        <w:instrText>state approach particularly important for MDD. The majority of such resea</w:instrText>
      </w:r>
      <w:r>
        <w:rPr>
          <w:rFonts w:ascii="Helvetica Neue" w:hAnsi="Helvetica Neue"/>
          <w:sz w:val="20"/>
          <w:szCs w:val="20"/>
        </w:rPr>
        <w:instrText>rch has relied on the grand averaged functional connectivity measures based on the temporal correlations between the BOLD time series of various brain regions. We, in our study, investigated the variations in the functional connectivity over time at globa</w:instrText>
      </w:r>
      <w:r>
        <w:rPr>
          <w:rFonts w:ascii="Helvetica Neue" w:hAnsi="Helvetica Neue" w:hint="eastAsia"/>
          <w:sz w:val="20"/>
          <w:szCs w:val="20"/>
        </w:rPr>
        <w:instrText>l and local level using RS</w:instrText>
      </w:r>
      <w:r>
        <w:rPr>
          <w:rFonts w:ascii="Helvetica Neue" w:hAnsi="Helvetica Neue" w:hint="eastAsia"/>
          <w:sz w:val="20"/>
          <w:szCs w:val="20"/>
        </w:rPr>
        <w:instrText>‐</w:instrText>
      </w:r>
      <w:r>
        <w:rPr>
          <w:rFonts w:ascii="Helvetica Neue" w:hAnsi="Helvetica Neue" w:hint="eastAsia"/>
          <w:sz w:val="20"/>
          <w:szCs w:val="20"/>
        </w:rPr>
        <w:instrText>fMRI BOLD time series of 27 MDD patients and 27 healthy control subjects. We found that global synchronization and temporal stability were significantly increased in the MDD patients. Furthermore, the participants with MDD showe</w:instrText>
      </w:r>
      <w:r>
        <w:rPr>
          <w:rFonts w:ascii="Helvetica Neue" w:hAnsi="Helvetica Neue"/>
          <w:sz w:val="20"/>
          <w:szCs w:val="20"/>
        </w:rPr>
        <w:instrText>d significantly increased overall average (static) functional connectivity (sFC) but decreased variability of functional connectivity (vFC) within specific networks. Static FC increased to predominance among the regions pertaining to the default mode network (DMN), while the decreased variability of FC was observed in the connections between the DMN and the frontoparietal network.\n              Hum Brain Mapp 37:2918–2930, 2016\n              . ©\n              2016 Wiley Periodicals, Inc.","container-title":"Human Brain Mapping","DOI":"10.1002/hbm.23215","ISSN":"1065-9471, 1097-0193","issue":"8","journalAbbreviation":"Human Brain Mapping","language":"en","license":"http://creativecommons.org/licenses/by-nc-nd/4.0/","page":"2918-2930","source":"DOI.org (</w:instrText>
      </w:r>
      <w:r>
        <w:rPr>
          <w:rFonts w:ascii="Helvetica Neue" w:hAnsi="Helvetica Neue" w:hint="eastAsia"/>
          <w:sz w:val="20"/>
          <w:szCs w:val="20"/>
        </w:rPr>
        <w:instrText>Crossref)","title":"Dynamic functional connectivity reveals altered variability in functional connectivity among patients with major depressive disorder","volume":"37","author":[{"family":"Demirtaş","given":"Murat"},{"family":"Tornador","given":"Cristian"},{"family":"Falcón","given":"Carles"},{"family":"López</w:instrText>
      </w:r>
      <w:r>
        <w:rPr>
          <w:rFonts w:ascii="Helvetica Neue" w:hAnsi="Helvetica Neue" w:hint="eastAsia"/>
          <w:sz w:val="20"/>
          <w:szCs w:val="20"/>
        </w:rPr>
        <w:instrText>‐</w:instrText>
      </w:r>
      <w:r>
        <w:rPr>
          <w:rFonts w:ascii="Helvetica Neue" w:hAnsi="Helvetica Neue" w:hint="eastAsia"/>
          <w:sz w:val="20"/>
          <w:szCs w:val="20"/>
        </w:rPr>
        <w:instrText>Solà","given":"Marina"},{"family":"Hernández</w:instrText>
      </w:r>
      <w:r>
        <w:rPr>
          <w:rFonts w:ascii="Helvetica Neue" w:hAnsi="Helvetica Neue" w:hint="eastAsia"/>
          <w:sz w:val="20"/>
          <w:szCs w:val="20"/>
        </w:rPr>
        <w:instrText>‐</w:instrText>
      </w:r>
      <w:r>
        <w:rPr>
          <w:rFonts w:ascii="Helvetica Neue" w:hAnsi="Helvetica Neue" w:hint="eastAsia"/>
          <w:sz w:val="20"/>
          <w:szCs w:val="20"/>
        </w:rPr>
        <w:instrText>Ribas","given":"Rosa"},{"family":"Pujol","given":"Jesús"},{"family":"Menchón","given":"José M."},{"family":"Ritter","given":"Petra"},{"family":"Cardoner","given":"Narcis"},{"family":"Soriano</w:instrText>
      </w:r>
      <w:r>
        <w:rPr>
          <w:rFonts w:ascii="Helvetica Neue" w:hAnsi="Helvetica Neue" w:hint="eastAsia"/>
          <w:sz w:val="20"/>
          <w:szCs w:val="20"/>
        </w:rPr>
        <w:instrText>‐</w:instrText>
      </w:r>
      <w:r>
        <w:rPr>
          <w:rFonts w:ascii="Helvetica Neue" w:hAnsi="Helvetica Neue" w:hint="eastAsia"/>
          <w:sz w:val="20"/>
          <w:szCs w:val="20"/>
        </w:rPr>
        <w:instrText xml:space="preserve">Mas","given":"Carles"},{"family":"Deco","given":"Gustavo"}],"issued":{"date-parts":[["2016",8]]}}}],"schema":"https://github.com/citation-style-language/schema/raw/master/csl-citation.json"}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(140,146)</w:t>
      </w:r>
      <w:r>
        <w:rPr>
          <w:rFonts w:ascii="Helvetica Neue" w:hAnsi="Helvetica Neue"/>
          <w:sz w:val="20"/>
          <w:szCs w:val="20"/>
        </w:rPr>
        <w:fldChar w:fldCharType="end"/>
      </w:r>
      <w:r>
        <w:rPr>
          <w:rFonts w:ascii="Helvetica Neue" w:hAnsi="Helvetica Neue"/>
          <w:sz w:val="20"/>
          <w:szCs w:val="20"/>
        </w:rPr>
        <w:t>.</w:t>
      </w:r>
      <w:r>
        <w:t xml:space="preserve"> </w:t>
      </w:r>
      <w:r w:rsidRPr="007E6EAD">
        <w:rPr>
          <w:rFonts w:asciiTheme="minorHAnsi" w:hAnsiTheme="minorHAnsi"/>
          <w:sz w:val="20"/>
          <w:szCs w:val="20"/>
        </w:rPr>
        <w:t>Furthermore,</w:t>
      </w:r>
      <w:r>
        <w:t xml:space="preserve"> </w:t>
      </w:r>
      <w:r>
        <w:rPr>
          <w:rFonts w:ascii="Helvetica Neue" w:hAnsi="Helvetica Neue"/>
          <w:sz w:val="20"/>
          <w:szCs w:val="20"/>
        </w:rPr>
        <w:t xml:space="preserve">psychomotor speed is modulated by the interaction between raphe (5-HT) and the substantia nigra (DA).; notably, reduced dopaminergic tone is known to predict psychomotor retardation, </w:t>
      </w:r>
      <w:r w:rsidRPr="006979CE">
        <w:rPr>
          <w:rFonts w:ascii="Helvetica Neue" w:hAnsi="Helvetica Neue"/>
          <w:sz w:val="20"/>
          <w:szCs w:val="20"/>
        </w:rPr>
        <w:t>, likely by weakening thalamo-sensorimotor coupling</w:t>
      </w:r>
      <w:r>
        <w:rPr>
          <w:rFonts w:ascii="Helvetica Neue" w:hAnsi="Helvetica Neue"/>
          <w:sz w:val="20"/>
          <w:szCs w:val="20"/>
        </w:rPr>
        <w:t xml:space="preserv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{"citationID":"owXKqTzE","properties":{"formattedCitation":"(145)","plainCitation":"(145)","noteIndex":0},"citationItems":[{"id":5171,"uris":["http://zotero.org/users/9264269/items/JKM3AK9A"],"itemData":{"id":5171,"type":"article-journal","container-title":"Frontiers in Psychiatry","DOI":"10.3389/fpsyt.2018.00163","ISSN":"1664-0640","journalAbbreviation":"Front. Psychiatry","page":"163","source":"DOI.org (Crossref)","title":"Spectral Dynamics of Resting State fMRI Within the Ventral Tegmental Area and Dorsal Raphe Nuclei in Medication-Free Major Depressive Disorder in Young Adults","volume":"9","author":[{"family":"Wohlschläger","given":"Afra"},{"family":"Karne","given":"Harish"},{"family":"Jordan","given":"Denis"},{"family":"Lowe","given":"Mark J."},{"family":"Jones","given":"Stephen E."},{"family":"Anand","given":"Amit"}],"issued":{"date-parts":[["2018",5,11]]}}}],"schema":"https://github.com/citation-style-language/schema/raw/master/csl-citation.json"}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(145)</w:t>
      </w:r>
      <w:r>
        <w:rPr>
          <w:rFonts w:ascii="Helvetica Neue" w:hAnsi="Helvetica Neue"/>
          <w:sz w:val="20"/>
          <w:szCs w:val="20"/>
        </w:rPr>
        <w:fldChar w:fldCharType="end"/>
      </w:r>
      <w:r>
        <w:rPr>
          <w:rFonts w:ascii="Helvetica Neue" w:hAnsi="Helvetica Neue"/>
          <w:sz w:val="20"/>
          <w:szCs w:val="20"/>
        </w:rPr>
        <w:t xml:space="preserve">. </w:t>
      </w:r>
    </w:p>
    <w:p w14:paraId="407949DA" w14:textId="77777777" w:rsidR="00DF1A4F" w:rsidRDefault="00DF1A4F" w:rsidP="00DF1A4F">
      <w:pPr>
        <w:pStyle w:val="p1"/>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sidRPr="00B92D7C">
        <w:rPr>
          <w:rFonts w:ascii="Helvetica Neue" w:hAnsi="Helvetica Neue"/>
          <w:sz w:val="20"/>
          <w:szCs w:val="20"/>
        </w:rPr>
        <w:t>This spectral slowing serves as the electrophysiological signature of an abnormally prolonged Intrinsic Neural Timescale (INT), which facilitates the excessive temporal integration of internal and external inputs</w:t>
      </w:r>
      <w:r>
        <w:rPr>
          <w:rFonts w:ascii="Helvetica Neue" w:hAnsi="Helvetica Neue"/>
          <w:sz w:val="20"/>
          <w:szCs w:val="20"/>
        </w:rPr>
        <w:fldChar w:fldCharType="begin"/>
      </w:r>
      <w:r>
        <w:rPr>
          <w:rFonts w:ascii="Helvetica Neue" w:hAnsi="Helvetica Neue"/>
          <w:sz w:val="20"/>
          <w:szCs w:val="20"/>
        </w:rPr>
        <w:instrText xml:space="preserve"> ADDIN ZOTERO_ITEM CSL_CITATION {"citationID":"Ukd8rRWe","properties":{"unsorted":false,"formattedCitation":"(119,123)","plainCitation":"(119,123)","noteIndex":0},"citationItems":[{"id":5512,"uris":["http://zotero.org/users/9264269/items/MFG4EM6A"],"itemData":{"id":5512,"type":"article-journal","abstract":"Input processing in the brain is mediated by phase synchronization and intrinsic neural timescales, both of which have been implicated in schizophrenia. Their relationship remains unclear, though. Recruiting a schizophrenia EEG sample from the B-SNIP consortium dataset (n = 134, 70 schizophrenia patients, 64 controls), we investigate phase synchronization, as measured by intertrial phase coherence (ITPC), and intrinsic neural timescales, as measured by the autocorrelation window (ACW) during both the rest and oddball-task states. The main goal of our paper was to investigate whether reported shifts from shorter to longer timescales are related to decreased ITPC. Our ﬁndings show (i) decreases in both theta and alpha ITPC in response to both standard and deviant tones; and (iii) a negative correlation of ITPC and ACW in healthy subjects while such correlation is no longer present in SCZ participants. Together, we demonstrate evidence of abnormally long intrinsic neural timescales (ACW) in resting-state EEG of schizophrenia as well as their dissociation from phase synchronization (ITPC). Our data suggest that, during input processing, the resting state’s abnormally long intrinsic neural timescales tilt the balance of temporal segregation and integration towards the latter. That results in temporal imprecision with decreased phase synchronization in response to inputs. Our ﬁndings provide further evidence for a basic temporal disturbance in schizophrenia on the different timescales (longer ACW and shorter ITPC), which, in the future, might be able to explain common symptoms related to the temporal experience in schizophrenia, for example temporal fragmentation.","container-title":"Brain Sciences","DOI":"10.3390/brainsci13040695","ISSN":"2076-3425","issue":"4","journalAbbreviation":"Brain Sciences","language":"en","page":"695","source":"DOI.org (Crossref)","title":"Prolonged Intrinsic Neural Timescales Dissociate from Phase Coherence in Schizophrenia","volume":"13","author":[{"family":"Lechner","given":"Stephan"},{"family":"Northoff","given":"Georg"}],"issued":{"date-parts":[["2023",4,21]]}}},{"id":242,"uris":["http://zotero.org/users/9264269/items/5HWIHZRE"],"itemData":{"id":242,"type":"article-journal","abstract":"Schizophrenia (SCZ) can be characterized as a basic self-disorder that is featured by abnormal temporal integration on phenomenological (experience) and psychological (information processing) levels. Temporal integration on the neuronal level can be measured by the brain's intrinsic neural timescale using the autocorrelation window (ACW) and power-law exponent (PLE). Our goal was to relate intrinsic neural timescales (ACW, PLE), as a proxy of temporal integration on the neuronal level, to temporal integration related to self-disorder on psychological (Enfacement illusion task in electroencephalography) and phenomenological (Examination of Anomalous Self-Experience [EASE]) levels. SCZ participants exhibited prolonged ACW and higher PLE during the self-referential task (Enfacement illusion), but not during the non-self-referential task (auditory oddball). The degree of ACW/PLE change during task relative to rest was significantly reduced in self-referential task in SCZ. A moderation model showed that low and high ACW/PLE exerted differential impact on the relationship of self-disorder (EASE) and negative symptoms (PANSS). In sum, we demonstrate abnormal prolongation in intrinsic neural timescale during self-reference in SCZ including its relation to basic self-disorder and negative symptoms. Our results point to abnormal relation of self and temporal integration at the core of SCZ constituting a \"common currency\" of neuronal, psychological, and phenomenological levels.","container-title":"Schizophrenia bulletin","DOI":"10.1093/schbul/sbaa083","ISSN":"17451701","issue":"1","page":"170–179","PMID":"32614395","publisher":"NLM (Medline)","title":"The Self and Its Prolonged Intrinsic Neural Timescale in Schizophrenia","volume":"47","author":[{"family":"Northoff","given":"Georg"},{"family":"Sandsten","given":"Karl Erik"},{"family":"Nordgaard","given":"Julie"},{"family":"Kjaer","given":"Troels Wesenberg"},{"family":"Parnas","given":"Josef"}],"issued":{"date-parts":[["2021",1]]}}}],"schema":"https://github.com/citation-style-language/schema/raw/master/csl-citation.json"}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(119,123)</w:t>
      </w:r>
      <w:r>
        <w:rPr>
          <w:rFonts w:ascii="Helvetica Neue" w:hAnsi="Helvetica Neue"/>
          <w:sz w:val="20"/>
          <w:szCs w:val="20"/>
        </w:rPr>
        <w:fldChar w:fldCharType="end"/>
      </w:r>
      <w:r w:rsidRPr="00B92D7C">
        <w:rPr>
          <w:rFonts w:ascii="Helvetica Neue" w:hAnsi="Helvetica Neue"/>
          <w:sz w:val="20"/>
          <w:szCs w:val="20"/>
        </w:rPr>
        <w:t xml:space="preserve">. Computationally, this creates a locked-in state: the temporal integration window becomes so wide that the accumulated weight of the past (priors) statistically overwhelms the present (sensory input). Because the brain’s timescale is too slow to update, it becomes mathematically insensitive to transient, fast-changing environmental inputs (e.g., positive surprises). Consequently, the system effectively ignores the "now" and loops on internal negative predictions, driving clinical rumination. We propose that this computational shift to a temporally rigid state forms the mechanistic core of the "Negative Schema" and its maladaptive thought patterns. The patient becomes trapped in a low-frequency attractor state where neural activity continuously re-confirms the prior </w:t>
      </w:r>
      <w:r w:rsidRPr="00B92D7C">
        <w:rPr>
          <w:rFonts w:ascii="Helvetica Neue" w:hAnsi="Helvetica Neue"/>
          <w:sz w:val="20"/>
          <w:szCs w:val="20"/>
        </w:rPr>
        <w:lastRenderedPageBreak/>
        <w:t>belief ("I am worthless") because the fast prediction errors required to challenge that belief are filtered out by the sluggish timescale.</w:t>
      </w:r>
    </w:p>
    <w:p w14:paraId="08131188" w14:textId="77777777" w:rsidR="00DF1A4F" w:rsidRDefault="00DF1A4F" w:rsidP="00DF1A4F">
      <w:pPr>
        <w:pStyle w:val="p1"/>
        <w:pBdr>
          <w:top w:val="single" w:sz="12" w:space="1" w:color="auto"/>
          <w:left w:val="single" w:sz="12" w:space="4" w:color="auto"/>
          <w:bottom w:val="single" w:sz="12" w:space="1" w:color="auto"/>
          <w:right w:val="single" w:sz="12" w:space="4" w:color="auto"/>
          <w:between w:val="none" w:sz="0" w:space="0" w:color="auto"/>
          <w:bar w:val="none" w:sz="0" w:color="auto"/>
        </w:pBdr>
        <w:shd w:val="clear" w:color="auto" w:fill="D9D9D9" w:themeFill="background1" w:themeFillShade="D9"/>
        <w:spacing w:line="276" w:lineRule="auto"/>
        <w:jc w:val="both"/>
        <w:rPr>
          <w:rFonts w:ascii="Helvetica Neue" w:hAnsi="Helvetica Neue"/>
          <w:sz w:val="20"/>
          <w:szCs w:val="20"/>
        </w:rPr>
      </w:pPr>
      <w:r w:rsidRPr="005A6BCC">
        <w:rPr>
          <w:rFonts w:ascii="Helvetica Neue" w:hAnsi="Helvetica Neue"/>
          <w:sz w:val="20"/>
          <w:szCs w:val="20"/>
        </w:rPr>
        <w:t>Therapeutic neuroimaging findings consistently support this link between cellular biochemistry and systemic temporal dynamics. Successful interventions—including SSRIs, CBT, ketamine, and rTMS—frequently normalize neural rhythms by decreasing pathological alpha dominance, engaging adaptive theta, and restoring gamma/theta cross-frequency coupling across uni- and transmodal regions</w:t>
      </w:r>
      <w:r>
        <w:rPr>
          <w:rFonts w:ascii="Helvetica Neue" w:hAnsi="Helvetica Neue"/>
          <w:sz w:val="20"/>
          <w:szCs w:val="20"/>
        </w:rPr>
        <w:t xml:space="preserv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K9KpboOG","properties":{"unsorted":false,"formattedCitation":"(137,149,150)","plainCitation":"(137,149,150)","noteIndex":0},"citationItems":[{"id":5196,"uris":["http://zotero.org/users/9264269/items/3YD2TXVS"],"itemData":{"id":5196,"type":"article-journal","abstract":"Abstract\n            \n              Antidepressants are often the first-line medications prescribed for patients with major depressive disorder (MDD). Given the critical role of the default mode network (DMN) in the physiopathology of MDD, the current study aimed to investigate the effects of antidepressants on the resting-state functional connectivity (rsFC) within and between the DMN subsystems. We collected resting-state functional magnetic resonance imaging (rs-fMRI) data from 36 unmedicated MDD patients at baseline and after escitalopram treatment for 12 weeks. The rs-fMRI data were also collected from 61 matched healthy controls at the time point with the same interval. Then, we decomposed the DMN into three subsystems based on a template from previous studies and computed the rsFC within and between the three subsystems. Finally, repeated measures analysis of covariance was conducted to identify the main effect of group and time and their interaction effect. We found that the significantly reduced within-subsystem rsFC in the DMN core subsystem in patients with MDD at baseline was increased after escitalopram treatment and became comparable with that in the healthy controls, whereas the reduced within-subsystem rsFC persisted in the DMN dorsal medial prefrontal cortex (dMPFC) and medial temporal subsystems in patients with MDD following escitalopram treatment. In addition, the reduced between-subsystem rsFC between the core and dMPFC subsystem showed a similar trend of change after treatment in patients with MDD. Moreover, our main results were confirmed using the DMN regions from another brain atlas. In the current study, we found different effects of escitalopram on the rsFC of the DMN subsystems. These findings deepened our understanding of the neuronal basis of antidepressants’ effect on brain function in patients with MDD. The trial name: appropriate technology study of MDD diagnosis and treatment based on objective indicators and measurement. URL:\n              http://www.chictr.org.cn/showproj.aspx?proj=21377\n              . Registration number: ChiCTR-OOC-17012566.","container-title":"Translational Psychiatry","DOI":"10.1038/s41398-021-01754-4","ISSN":"2158-3188","issue":"1","journalAbbreviation":"Transl Psychiatry","language":"en","page":"634","source":"DOI.org (Crossref)","title":"Effects of escitalopram therapy on resting-state functional connectivity of subsystems of the default mode network in unmedicated patients with major depressive disorder","volume":"11","author":[{"family":"Cui","given":"Jian"},{"family":"Wang","given":"Yun"},{"family":"Liu","given":"Rui"},{"family":"Chen","given":"Xiongying"},{"family":"Zhang","given":"Zhifang"},{"family":"Feng","given":"Yuan"},{"family":"Zhou","given":"Jingjing"},{"family":"Zhou","given":"Yuan"},{"family":"Wang","given":"Gang"}],"issued":{"date-parts":[["2021",12,13]]}}},{"id":5184,"uris":["http://zotero.org/users/9264269/items/L23LXG83"],"itemData":{"id":5184,"type":"article-journal","abstract":"Identifying biomarkers for major depression is of high importance for improving diagnosis and treatment of this common and debilitating neuropsychiatric disorder, as the ﬁeld seeks to move toward both personalized and more effective treatments. Here we focus on electroencephalography (EEG) or direct scalp voltage recordings as such a biomarker, with an emphasis on gamma and high gamma oscillations (or “rhythms”). In the last several decades, alpha and theta band rhythms have been found to provide information on depressive state as well as recovery, but the gamma band is less well characterized with respect to depression. We summarize some key ﬁndings on gamma rhythms (especially their amplitude) as a biomarker or endophenotype for major depression. These studies suggest: (1) under certain conditions gamma rhythms can distinguish subjects with major depression from healthy controls, (2) gamma may distinguish bipolar disorder from unipolar depression, (3) various pharmacological and nonpharmacological treatments that counteract depression also alter gamma, (4) animal models of depression-like behavior show gamma abnormalities, with changes in gamma associated with therapeutic recovery. The most informative approaches in the future may combine proﬁles of gamma band power across the brain to assess ratios of activity across regions. Overall we have good evidence to suggest that gamma rhythms may provide objective information on major depressive disease status, but we will need further work to better deﬁne the precise measures to follow.","container-title":"Translational Psychiatry","DOI":"10.1038/s41398-018-0239-y","ISSN":"2158-3188","issue":"1","journalAbbreviation":"Transl Psychiatry","language":"en","page":"177","source":"DOI.org (Crossref)","title":"Gamma oscillations as a biomarker for major depression: an emerging topic","title-short":"Gamma oscillations as a biomarker for major depression","volume":"8","author":[{"family":"Fitzgerald","given":"Paul J."},{"family":"Watson","given":"Brendon O."}],"issued":{"date-parts":[["2018",9,4]]}}},{"id":5185,"uris":["http://zotero.org/users/9264269/items/YN6K57BN"],"itemData":{"id":5185,"type":"article-journal","container-title":"Progress in Neuro-Psychopharmacology and Biological Psychiatry","DOI":"10.1016/j.pnpbp.2023.110893","ISSN":"02785846","journalAbbreviation":"Progress in Neuro-Psychopharmacology and Biological Psychiatry","language":"en","page":"110893","source":"DOI.org (Crossref)","title":"Gamma oscillations in the mPFC: A potential predictive biomarker of depression and antidepressant effects","title-short":"Gamma oscillations in the mPFC","volume":"129","author":[{"family":"Yin","given":"Yong-Yu"},{"family":"Yan","given":"Jiao-Zhao"},{"family":"Lai","given":"Shi-Xin"},{"family":"Wei","given":"Qian-Qian"},{"family":"Sun","given":"Si-Rui"},{"family":"Zhang","given":"Li-Ming"},{"family":"Li","given":"Yun-Feng"}],"issued":{"date-parts":[["2024",2]]}}}],"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(137,149,150)</w:t>
      </w:r>
      <w:r>
        <w:rPr>
          <w:rFonts w:ascii="Helvetica Neue" w:hAnsi="Helvetica Neue"/>
          <w:sz w:val="20"/>
          <w:szCs w:val="20"/>
        </w:rPr>
        <w:fldChar w:fldCharType="end"/>
      </w:r>
      <w:r>
        <w:rPr>
          <w:rFonts w:ascii="Helvetica Neue" w:hAnsi="Helvetica Neue"/>
          <w:sz w:val="20"/>
          <w:szCs w:val="20"/>
        </w:rPr>
        <w:t>). T</w:t>
      </w:r>
      <w:r w:rsidRPr="00273858">
        <w:rPr>
          <w:rFonts w:ascii="Helvetica Neue" w:hAnsi="Helvetica Neue"/>
          <w:sz w:val="20"/>
          <w:szCs w:val="20"/>
        </w:rPr>
        <w:t>reatments like ketamine (NMDA modulation) or pramipexole (D3 agonists) function by mechanically "releasing the brakes"—cleaving PNNs or restoring AMPA density.</w:t>
      </w:r>
      <w:r>
        <w:rPr>
          <w:rFonts w:ascii="Helvetica Neue" w:hAnsi="Helvetica Neue"/>
          <w:sz w:val="20"/>
          <w:szCs w:val="20"/>
        </w:rPr>
        <w:t xml:space="preserve"> Within our proposed computational framework, we interpret these monoaminergic and glutamatergic E/I mechanisms as the biological substrates of predictive precision-weighting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{"citationID":"E7VOkHVA","properties":{"formattedCitation":"(151)","plainCitation":"(151)","noteIndex":0},"citationItems":[{"id":5445,"uris":["http://zotero.org/users/9264269/items/PYCAEZ7N"],"itemData":{"id":5445,"type":"article-journal","abstract":"How do monoamines influence the perceptual and behavioral aspects of brain function? A library of information regarding the genetic, molecular, cellular, and function of monoamines in the nervous system and other organs has accumulated. We briefly review monoamines’ anatomy and physiology and discuss their effects on the target neurons and circuits. Monoaminergic cells in the brain stem receive inputs from sensory, limbic, and prefrontal areas and project extensively to the forebrain and hindbrain. We review selected studies on molecular, cellular, and electrophysiological effects of monoamines on the brain’s target areas. The idea is that monoamines, by reversibly modulating the “primary” information processing circuits, regulate and switch the functions of brain networks and can reversibly alter the “brain states,” such as consciousness, emotions, and movements. Monoamines, as the drivers of normal motor and sensory brain operations, including housekeeping, play essential roles in pathogenesis of neuropsychiatric diseases.","container-title":"The Neuroscientist","DOI":"10.1177/1073858420974336","ISSN":"1073-8584, 1089-4098","issue":"2","journalAbbreviation":"Neuroscientist","language":"en","page":"121-143","source":"DOI.org (Crossref)","title":"Monoamines: Dopamine, Norepinephrine, and Serotonin, Beyond Modulation, “Switches” That Alter the State of Target Networks","title-short":"Monoamines","volume":"28","author":[{"family":"Azizi","given":"Sayed Ausim"}],"issued":{"date-parts":[["2022",4]]}}}],"schema":"https://github.com/citation-style-language/schema/raw/master/csl-citation.json"}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(151)</w:t>
      </w:r>
      <w:r>
        <w:rPr>
          <w:rFonts w:ascii="Helvetica Neue" w:hAnsi="Helvetica Neue"/>
          <w:sz w:val="20"/>
          <w:szCs w:val="20"/>
        </w:rPr>
        <w:fldChar w:fldCharType="end"/>
      </w:r>
      <w:r>
        <w:rPr>
          <w:rFonts w:ascii="Helvetica Neue" w:hAnsi="Helvetica Neue"/>
          <w:sz w:val="20"/>
          <w:szCs w:val="20"/>
        </w:rPr>
        <w:t xml:space="preserve">. </w:t>
      </w:r>
      <w:r w:rsidRPr="00046987">
        <w:rPr>
          <w:rFonts w:ascii="Helvetica Neue" w:hAnsi="Helvetica Neue"/>
          <w:sz w:val="20"/>
          <w:szCs w:val="20"/>
        </w:rPr>
        <w:t>Accordingly, redefining this synaptic balance via neuromodulatory treatments may alter rapid, short-term precision estimates. Cumulatively, this synaptic re-weighting could dynamically retune the slower macroscopic timescales of large-scale networks</w:t>
      </w:r>
      <w:r>
        <w:rPr>
          <w:rFonts w:ascii="Helvetica Neue" w:hAnsi="Helvetica Neue"/>
          <w:sz w:val="20"/>
          <w:szCs w:val="20"/>
        </w:rPr>
        <w:t xml:space="preserve"> </w:t>
      </w:r>
      <w:r>
        <w:rPr>
          <w:rFonts w:ascii="Helvetica Neue" w:hAnsi="Helvetica Neue"/>
          <w:sz w:val="20"/>
          <w:szCs w:val="20"/>
        </w:rPr>
        <w:fldChar w:fldCharType="begin"/>
      </w:r>
      <w:r>
        <w:rPr>
          <w:rFonts w:ascii="Helvetica Neue" w:hAnsi="Helvetica Neue"/>
          <w:sz w:val="20"/>
          <w:szCs w:val="20"/>
        </w:rPr>
        <w:instrText xml:space="preserve"> ADDIN ZOTERO_ITEM CSL_CITATION {"citationID":"uNvSUeRd","properties":{"formattedCitation":"(138,152)","plainCitation":"(138,152)","noteIndex":0},"citationItems":[{"id":5446,"uris":["http://zotero.org/users/9264269/items/NSMC6EJS"],"itemData":{"id":5446,"type":"article-journal","container-title":"Neuroscience Research","DOI":"10.1016/j.neures.2021.08.001","ISSN":"01680102","journalAbbreviation":"Neuroscience Research","language":"en","page":"3-15","source":"DOI.org (Crossref)","title":"Molecular mechanism of hippocampal long-term potentiation – Towards multiscale understanding of learning and memory","volume":"175","author":[{"family":"Hayashi","given":"Yasunori"}],"issued":{"date-parts":[["2022",2]]}}},{"id":5168,"uris":["http://zotero.org/users/9264269/items/AWFDHXGZ"],"itemData":{"id":5168,"type":"article-journal","abstract":"Depression is one of the most disabling of all disorders across the community, yet many aspects of the disorder remain contentious. Psychosocial and biological perspectives are often placed in opposition to one another, which in part reflects a failure of our explanatory frameworks. The active inference account of brain function breaks down this dualism, demonstrating that bodily processes are deeply integrated with the social world. It shows us that there is no contradiction in understanding depression as a product of the social environment at the same time as having a brain basis and manifesting in biological symptoms. From an active inference perspective, depression can be thought of as a synaptopathy: a disorder that arises from alterations to the excitatory-inhibitory balance enacted at the synapse, reflecting the interoceptive precision-weightings that have changed in the context of psychosocial instability. Therapies that alleviate depressive symptoms act at different levels of the active inference framework to re-weight precision estimates and the confidence we have in our predictions: this is true for psychotherapies, lifestyle interventions and antidepressant medications. Their effectiveness is often only partial, and while different treatment modalities can complement one another, there is a need for continued development of new and better treatment options.","container-title":"Entropy","DOI":"10.3390/e27090970","ISSN":"1099-4300","issue":"9","journalAbbreviation":"Entropy","language":"en","page":"970","source":"DOI.org (Crossref)","title":"Disorder at the Synapse: How the Active Inference Framework Unifies Competing Perspectives on Depression","title-short":"Disorder at the Synapse","volume":"27","author":[{"family":"Davey","given":"Christopher G."},{"family":"Badcock","given":"Paul B."}],"issued":{"date-parts":[["2025",9,18]]}}}],"schema":"https://github.com/citation-style-language/schema/raw/master/csl-citation.json"} </w:instrText>
      </w:r>
      <w:r>
        <w:rPr>
          <w:rFonts w:ascii="Helvetica Neue" w:hAnsi="Helvetica Neue"/>
          <w:sz w:val="20"/>
          <w:szCs w:val="20"/>
        </w:rPr>
        <w:fldChar w:fldCharType="separate"/>
      </w:r>
      <w:r w:rsidRPr="00885831">
        <w:rPr>
          <w:rFonts w:ascii="Helvetica Neue" w:hAnsi="Helvetica Neue"/>
          <w:sz w:val="20"/>
        </w:rPr>
        <w:t>(138,152)</w:t>
      </w:r>
      <w:r>
        <w:rPr>
          <w:rFonts w:ascii="Helvetica Neue" w:hAnsi="Helvetica Neue"/>
          <w:sz w:val="20"/>
          <w:szCs w:val="20"/>
        </w:rPr>
        <w:fldChar w:fldCharType="end"/>
      </w:r>
      <w:r>
        <w:rPr>
          <w:rFonts w:ascii="Helvetica Neue" w:hAnsi="Helvetica Neue"/>
          <w:sz w:val="20"/>
          <w:szCs w:val="20"/>
        </w:rPr>
        <w:t xml:space="preserve">. </w:t>
      </w:r>
      <w:r w:rsidRPr="005D6A8C">
        <w:rPr>
          <w:rFonts w:ascii="Helvetica Neue" w:hAnsi="Helvetica Neue"/>
          <w:sz w:val="20"/>
          <w:szCs w:val="20"/>
        </w:rPr>
        <w:t>Ultimately, this perspective reframes effective therapies as interventions that rescue function by shifting patients from a globally slow, rigidly locked predictive regime toward a healthier slow-fast temporal balance between unimodal sensorimotor networks and the transmodal DMN</w:t>
      </w:r>
      <w:r>
        <w:rPr>
          <w:rFonts w:ascii="Helvetica Neue" w:hAnsi="Helvetica Neue"/>
          <w:sz w:val="20"/>
          <w:szCs w:val="20"/>
        </w:rPr>
        <w:t>.</w:t>
      </w:r>
    </w:p>
    <w:p w14:paraId="1A0C230A" w14:textId="2838AE28" w:rsidR="003813EA" w:rsidRDefault="003813EA" w:rsidP="00696F4D">
      <w:pPr>
        <w:rPr>
          <w:b/>
          <w:bCs/>
        </w:rPr>
      </w:pPr>
    </w:p>
    <w:p w14:paraId="3FDBFD63" w14:textId="24C2E9FD" w:rsidR="00E62D3B" w:rsidRDefault="00267FF2" w:rsidP="00696F4D">
      <w:pPr>
        <w:rPr>
          <w:i/>
          <w:iCs/>
        </w:rPr>
      </w:pPr>
      <w:r w:rsidRPr="00267FF2">
        <w:rPr>
          <w:b/>
          <w:bCs/>
        </w:rPr>
        <w:t>Comment 4:</w:t>
      </w:r>
      <w:r>
        <w:t xml:space="preserve"> </w:t>
      </w:r>
      <w:r w:rsidRPr="00267FF2">
        <w:rPr>
          <w:i/>
          <w:iCs/>
        </w:rPr>
        <w:t>“A few specific formulations would benefit from refinement. For example, statements suggesting a “failure to differentiate” stimuli in schizophrenia may be better phrased in terms of reduced or attenuated differentiation, to avoid potential misinterpretation. Similarly, broader claims (e.g., reframing depression as a “speed disorder”) could be more explicitly presented as proposed interpretations within the current framework.</w:t>
      </w:r>
      <w:r>
        <w:rPr>
          <w:i/>
          <w:iCs/>
        </w:rPr>
        <w:t>”</w:t>
      </w:r>
    </w:p>
    <w:p w14:paraId="1DA6885E" w14:textId="09CBC1B3" w:rsidR="00267FF2" w:rsidRDefault="00503278" w:rsidP="00696F4D">
      <w:pPr>
        <w:rPr>
          <w:i/>
          <w:iCs/>
        </w:rPr>
      </w:pPr>
      <w:r w:rsidRPr="00BC52AF">
        <w:rPr>
          <w:rFonts w:ascii="Arial" w:hAnsi="Arial" w:cs="Arial"/>
        </w:rPr>
        <w:t xml:space="preserve">Response 4: </w:t>
      </w:r>
      <w:r w:rsidR="00F36F9F" w:rsidRPr="00BC52AF">
        <w:rPr>
          <w:rFonts w:ascii="Arial" w:hAnsi="Arial" w:cs="Arial"/>
        </w:rPr>
        <w:t>We thank reviewer</w:t>
      </w:r>
      <w:r w:rsidR="005F6352" w:rsidRPr="00BC52AF">
        <w:rPr>
          <w:rFonts w:ascii="Arial" w:hAnsi="Arial" w:cs="Arial"/>
        </w:rPr>
        <w:t xml:space="preserve"> for pointing out that. We have changed that failure to differentiate to “attenuated differentiate”</w:t>
      </w:r>
      <w:r w:rsidR="00067273" w:rsidRPr="00BC52AF">
        <w:rPr>
          <w:rFonts w:ascii="Arial" w:hAnsi="Arial" w:cs="Arial"/>
        </w:rPr>
        <w:t>. Addition that</w:t>
      </w:r>
      <w:r w:rsidR="002C71B9" w:rsidRPr="00BC52AF">
        <w:rPr>
          <w:rFonts w:ascii="Arial" w:hAnsi="Arial" w:cs="Arial"/>
        </w:rPr>
        <w:t xml:space="preserve">, we have reorganized the part about depression </w:t>
      </w:r>
      <w:r w:rsidR="00253355" w:rsidRPr="00BC52AF">
        <w:rPr>
          <w:rFonts w:ascii="Arial" w:hAnsi="Arial" w:cs="Arial"/>
        </w:rPr>
        <w:t>and speed disorder</w:t>
      </w:r>
      <w:r w:rsidR="00253355">
        <w:rPr>
          <w:i/>
          <w:iCs/>
        </w:rPr>
        <w:t>:</w:t>
      </w:r>
    </w:p>
    <w:p w14:paraId="45C2E7AC" w14:textId="77777777" w:rsidR="008E223E" w:rsidRPr="00935F73" w:rsidRDefault="00CD63F2" w:rsidP="008E223E">
      <w:pPr>
        <w:pStyle w:val="ListParagraph"/>
        <w:numPr>
          <w:ilvl w:val="0"/>
          <w:numId w:val="5"/>
        </w:numPr>
        <w:spacing w:line="360" w:lineRule="auto"/>
        <w:rPr>
          <w:rFonts w:ascii="Arial" w:hAnsi="Arial" w:cs="Arial"/>
          <w:i/>
          <w:iCs/>
          <w:color w:val="002060"/>
          <w:sz w:val="20"/>
          <w:szCs w:val="20"/>
        </w:rPr>
      </w:pPr>
      <w:r w:rsidRPr="00935F73">
        <w:rPr>
          <w:rFonts w:ascii="Arial" w:hAnsi="Arial" w:cs="Arial"/>
          <w:i/>
          <w:iCs/>
          <w:color w:val="002060"/>
          <w:sz w:val="20"/>
          <w:szCs w:val="20"/>
        </w:rPr>
        <w:t>“</w:t>
      </w:r>
      <w:r w:rsidR="008E223E" w:rsidRPr="00935F73">
        <w:rPr>
          <w:rFonts w:ascii="Arial" w:hAnsi="Arial" w:cs="Arial"/>
          <w:i/>
          <w:iCs/>
          <w:color w:val="002060"/>
          <w:sz w:val="20"/>
          <w:szCs w:val="20"/>
        </w:rPr>
        <w:t xml:space="preserve">Empirical evidence indicates that MDD is characterized by abnormal power spectrum shifts toward lower-frequency dominance and reduced fast-band (gamma) power across unimodal sensory regions including the visual (128,140–142) and auditory cortices (143). Behaviorally and electrophysiologically, this manifests as a diminished responsiveness to fast visual inputs (126,142) alongside attenuated gamma-band auditory steady-state responses (151). Underlying these sensory alterations, EEG studies reveal a decrease in neural changes over time, indicated by a prolonged Autocorrelation Window (ACW) (42,46,88,144). Crucially, research demonstrates a direct relationship between this unimodal neural slowing and clinical presentation: increased low-frequency power correlates with greater psychomotor retardation and overall depressive symptom severity (140–142). The neural slowing also extends to transmodal regions like mPFC (145), manifesting as longer and more stable DMN/frontoparietal connectivity (126,142,146). </w:t>
      </w:r>
    </w:p>
    <w:p w14:paraId="4912FD65" w14:textId="77777777" w:rsidR="00E5353C" w:rsidRPr="00935F73" w:rsidRDefault="00E5353C" w:rsidP="00E5353C">
      <w:pPr>
        <w:pStyle w:val="ListParagraph"/>
        <w:spacing w:line="360" w:lineRule="auto"/>
        <w:rPr>
          <w:rFonts w:ascii="Arial" w:hAnsi="Arial" w:cs="Arial"/>
          <w:i/>
          <w:iCs/>
          <w:color w:val="002060"/>
          <w:sz w:val="20"/>
          <w:szCs w:val="20"/>
        </w:rPr>
      </w:pPr>
    </w:p>
    <w:p w14:paraId="7552CC76" w14:textId="752C8C65" w:rsidR="00253355" w:rsidRPr="00935F73" w:rsidRDefault="008E223E" w:rsidP="00E5353C">
      <w:pPr>
        <w:pStyle w:val="ListParagraph"/>
        <w:spacing w:line="360" w:lineRule="auto"/>
        <w:rPr>
          <w:rFonts w:ascii="Arial" w:hAnsi="Arial" w:cs="Arial"/>
          <w:i/>
          <w:iCs/>
          <w:color w:val="002060"/>
          <w:sz w:val="20"/>
          <w:szCs w:val="20"/>
        </w:rPr>
      </w:pPr>
      <w:r w:rsidRPr="00935F73">
        <w:rPr>
          <w:rFonts w:ascii="Arial" w:hAnsi="Arial" w:cs="Arial"/>
          <w:i/>
          <w:iCs/>
          <w:color w:val="002060"/>
          <w:sz w:val="20"/>
          <w:szCs w:val="20"/>
        </w:rPr>
        <w:t xml:space="preserve">Within our proposed spatiotemporal framework, we postulate that this widespread hierarchical neural slowing may be a primary driver of the internal-external prior imbalance observed in MDD. </w:t>
      </w:r>
      <w:r w:rsidRPr="00935F73">
        <w:rPr>
          <w:rFonts w:ascii="Arial" w:hAnsi="Arial" w:cs="Arial"/>
          <w:i/>
          <w:iCs/>
          <w:color w:val="002060"/>
          <w:sz w:val="20"/>
          <w:szCs w:val="20"/>
        </w:rPr>
        <w:lastRenderedPageBreak/>
        <w:t>Because processing speed is physically instantiated by neural oscillatory frequencies, a globally prolonged ACW forces the brain to integrate different usually separate inputs over an abnormally extended temporal window. We theorize that this extended integration disrupts the brain’s fundamental ability to successfully differentiate fast rapid stimuli from slower ones (153). Consequently, the precise timing of fast environmental cues appears blurred. Such impaired early sensory processing could theoretically cascade forward, disrupting broader network communication and biasing the brain’s predictive architecture toward reinforcing slower, internally driven cognitive content (e.g., rumination). Global slowing may thus create a static, inefficient style of processing that severely constrains both perception and action. Ultimately, by integrating these computational and dynamic mechanisms —grounded in specific cellular shifts in E/I balance and monoaminergic tone (Box 2)— our framework proposes a re-interpretation of MDD: rather than viewing it exclusively as a primary affective or mood condition, we propose it could be conceptualized fundamentally as a “speed disorder”—a state where underlying spatiotemporal slowness drives the ensuing cascade of sensory, motor, cognitive, and affective symptoms(126) (See Figure 7).</w:t>
      </w:r>
      <w:r w:rsidR="00CD63F2" w:rsidRPr="00935F73">
        <w:rPr>
          <w:rFonts w:ascii="Arial" w:hAnsi="Arial" w:cs="Arial"/>
          <w:i/>
          <w:iCs/>
          <w:color w:val="002060"/>
          <w:sz w:val="20"/>
          <w:szCs w:val="20"/>
        </w:rPr>
        <w:t>”</w:t>
      </w:r>
      <w:r w:rsidR="008C5539" w:rsidRPr="00935F73">
        <w:rPr>
          <w:rFonts w:ascii="Arial" w:hAnsi="Arial" w:cs="Arial"/>
          <w:i/>
          <w:iCs/>
          <w:color w:val="002060"/>
          <w:sz w:val="20"/>
          <w:szCs w:val="20"/>
        </w:rPr>
        <w:t xml:space="preserve"> (Depression : Abnormal slowness on the neural level – Depression is a speed disorder rather than just a mood disorder)</w:t>
      </w:r>
    </w:p>
    <w:p w14:paraId="24411754" w14:textId="77777777" w:rsidR="00E84877" w:rsidRDefault="00E84877" w:rsidP="008C5539">
      <w:pPr>
        <w:pStyle w:val="ListParagraph"/>
        <w:spacing w:line="360" w:lineRule="auto"/>
        <w:rPr>
          <w:rFonts w:ascii="Arial" w:hAnsi="Arial" w:cs="Arial"/>
          <w:i/>
          <w:iCs/>
          <w:color w:val="0070C0"/>
          <w:sz w:val="20"/>
          <w:szCs w:val="20"/>
        </w:rPr>
      </w:pPr>
    </w:p>
    <w:p w14:paraId="30599B99" w14:textId="269B1A7B" w:rsidR="00E84877" w:rsidRDefault="00E84877" w:rsidP="00E84877">
      <w:pPr>
        <w:pStyle w:val="Heading1"/>
      </w:pPr>
      <w:r>
        <w:t xml:space="preserve">Reviewer </w:t>
      </w:r>
      <w:r w:rsidR="00BC52AF">
        <w:t>4</w:t>
      </w:r>
    </w:p>
    <w:p w14:paraId="4E700328" w14:textId="1B074C39" w:rsidR="00BC52AF" w:rsidRDefault="00FC6FF0" w:rsidP="00BC52AF">
      <w:pPr>
        <w:rPr>
          <w:i/>
          <w:iCs/>
        </w:rPr>
      </w:pPr>
      <w:r>
        <w:rPr>
          <w:b/>
          <w:bCs/>
        </w:rPr>
        <w:t xml:space="preserve">Comment 1: </w:t>
      </w:r>
      <w:r w:rsidRPr="00FC6FF0">
        <w:rPr>
          <w:i/>
          <w:iCs/>
        </w:rPr>
        <w:t>“</w:t>
      </w:r>
      <w:r w:rsidR="000A73A4" w:rsidRPr="00FC6FF0">
        <w:rPr>
          <w:i/>
          <w:iCs/>
        </w:rPr>
        <w:t>The only exception is Comment 3 of Reviewer 1. I don't see why it was necessary to introduce the concept of Spatiotemporal Psychiatry.</w:t>
      </w:r>
      <w:r w:rsidRPr="00FC6FF0">
        <w:rPr>
          <w:i/>
          <w:iCs/>
        </w:rPr>
        <w:t>”</w:t>
      </w:r>
    </w:p>
    <w:p w14:paraId="685629BC" w14:textId="7A9777B7" w:rsidR="000A73A4" w:rsidRPr="00BC52AF" w:rsidRDefault="000C32C1" w:rsidP="00BC52AF">
      <w:r>
        <w:t xml:space="preserve">Response 1: </w:t>
      </w:r>
      <w:r w:rsidRPr="000C32C1">
        <w:t>We sincerely thank the reviewer for their positive evaluation of our revisions and for raising this important conceptual question. We understand the concern that introducing Spatiotemporal Psychiatry (SP) alongside Computational Psychiatry (CP) might initially appear to create an unnecessary dichotomy or overcomplicate the theoretical landscape.  It was necessary to introduce SP in our manuscript to explicitly define the biological and physiological implementation of abstract computational processes. While CP relies heavily on mathematical constructs—such as Bayesian priors, precisions, and prediction errors—mapping these abstract concepts directly to clinically relevant neural biomarkers remains a significant challenge in the field.  We introduce SP not as a competing model, but as the missing physiological half of the equation. SP specifically targets how the intrinsic temporal and spatial structures of neural activity physically shape cognition and experience. Because these spatiotemporal features exist on both the neural and psychological levels, SP frameworks view them as a 'common currency'. However, while SP describes these dynamic features, it remains largely agnostic to the underlying computational mechanisms.  Therefore, introducing SP is essential to the core goal of our paper: integrating computational and spatiotemporal explanatory frameworks</w:t>
      </w:r>
      <w:r w:rsidR="00130F57">
        <w:t>.</w:t>
      </w:r>
    </w:p>
    <w:p w14:paraId="4A9424EE" w14:textId="77777777" w:rsidR="00E84877" w:rsidRPr="008C5539" w:rsidRDefault="00E84877" w:rsidP="008C5539">
      <w:pPr>
        <w:pStyle w:val="ListParagraph"/>
        <w:spacing w:line="360" w:lineRule="auto"/>
        <w:rPr>
          <w:rFonts w:ascii="Arial" w:hAnsi="Arial" w:cs="Arial"/>
          <w:i/>
          <w:iCs/>
          <w:color w:val="0070C0"/>
          <w:sz w:val="20"/>
          <w:szCs w:val="20"/>
        </w:rPr>
      </w:pPr>
    </w:p>
    <w:sectPr w:rsidR="00E84877" w:rsidRPr="008C5539" w:rsidSect="009F5BE8">
      <w:pgSz w:w="12240" w:h="15840"/>
      <w:pgMar w:top="1440" w:right="1440" w:bottom="1440" w:left="1440" w:header="708" w:footer="708" w:gutter="0"/>
      <w:lnNumType w:countBy="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435E"/>
    <w:multiLevelType w:val="hybridMultilevel"/>
    <w:tmpl w:val="564A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808BC"/>
    <w:multiLevelType w:val="hybridMultilevel"/>
    <w:tmpl w:val="798E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10262"/>
    <w:multiLevelType w:val="hybridMultilevel"/>
    <w:tmpl w:val="D396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544B1"/>
    <w:multiLevelType w:val="hybridMultilevel"/>
    <w:tmpl w:val="8DF8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6030BC"/>
    <w:multiLevelType w:val="hybridMultilevel"/>
    <w:tmpl w:val="EAAE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373426">
    <w:abstractNumId w:val="3"/>
  </w:num>
  <w:num w:numId="2" w16cid:durableId="1144202426">
    <w:abstractNumId w:val="1"/>
  </w:num>
  <w:num w:numId="3" w16cid:durableId="1101603771">
    <w:abstractNumId w:val="4"/>
  </w:num>
  <w:num w:numId="4" w16cid:durableId="969212894">
    <w:abstractNumId w:val="0"/>
  </w:num>
  <w:num w:numId="5" w16cid:durableId="499585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2F8"/>
    <w:rsid w:val="000033C2"/>
    <w:rsid w:val="00050DEF"/>
    <w:rsid w:val="00067273"/>
    <w:rsid w:val="00092049"/>
    <w:rsid w:val="00097F73"/>
    <w:rsid w:val="000A73A4"/>
    <w:rsid w:val="000B0BB1"/>
    <w:rsid w:val="000C32C1"/>
    <w:rsid w:val="000D146F"/>
    <w:rsid w:val="000D2339"/>
    <w:rsid w:val="000F1683"/>
    <w:rsid w:val="000F26EE"/>
    <w:rsid w:val="000F2878"/>
    <w:rsid w:val="00120660"/>
    <w:rsid w:val="00127379"/>
    <w:rsid w:val="00130F57"/>
    <w:rsid w:val="001510BF"/>
    <w:rsid w:val="00154D21"/>
    <w:rsid w:val="00184755"/>
    <w:rsid w:val="001973DF"/>
    <w:rsid w:val="001A672D"/>
    <w:rsid w:val="001B4F1F"/>
    <w:rsid w:val="001F18CE"/>
    <w:rsid w:val="002212ED"/>
    <w:rsid w:val="00233BB5"/>
    <w:rsid w:val="00245708"/>
    <w:rsid w:val="00253355"/>
    <w:rsid w:val="00267FF2"/>
    <w:rsid w:val="0027551C"/>
    <w:rsid w:val="00283399"/>
    <w:rsid w:val="00285E76"/>
    <w:rsid w:val="0029533A"/>
    <w:rsid w:val="002A66B4"/>
    <w:rsid w:val="002A68C6"/>
    <w:rsid w:val="002C71B9"/>
    <w:rsid w:val="002D4BC9"/>
    <w:rsid w:val="002D4F55"/>
    <w:rsid w:val="002D5264"/>
    <w:rsid w:val="002D7974"/>
    <w:rsid w:val="002F1D39"/>
    <w:rsid w:val="003204FD"/>
    <w:rsid w:val="003209E8"/>
    <w:rsid w:val="00335679"/>
    <w:rsid w:val="003361E3"/>
    <w:rsid w:val="00345FB1"/>
    <w:rsid w:val="003501D0"/>
    <w:rsid w:val="00357060"/>
    <w:rsid w:val="003813EA"/>
    <w:rsid w:val="00383706"/>
    <w:rsid w:val="003A6861"/>
    <w:rsid w:val="003C1F1E"/>
    <w:rsid w:val="003C38A3"/>
    <w:rsid w:val="003C726F"/>
    <w:rsid w:val="003E3ADE"/>
    <w:rsid w:val="003E4DE9"/>
    <w:rsid w:val="003F70EE"/>
    <w:rsid w:val="00422AB0"/>
    <w:rsid w:val="00433777"/>
    <w:rsid w:val="0044398A"/>
    <w:rsid w:val="0046202C"/>
    <w:rsid w:val="00467CD8"/>
    <w:rsid w:val="00482D20"/>
    <w:rsid w:val="00485858"/>
    <w:rsid w:val="00491563"/>
    <w:rsid w:val="00495F5C"/>
    <w:rsid w:val="004A15F2"/>
    <w:rsid w:val="004B1C2F"/>
    <w:rsid w:val="004D7ACC"/>
    <w:rsid w:val="00502BAC"/>
    <w:rsid w:val="00503278"/>
    <w:rsid w:val="00516509"/>
    <w:rsid w:val="00520CFC"/>
    <w:rsid w:val="00542892"/>
    <w:rsid w:val="00567329"/>
    <w:rsid w:val="00573D21"/>
    <w:rsid w:val="005776AD"/>
    <w:rsid w:val="005969A4"/>
    <w:rsid w:val="005974D7"/>
    <w:rsid w:val="005A53B4"/>
    <w:rsid w:val="005C74DF"/>
    <w:rsid w:val="005F6352"/>
    <w:rsid w:val="00602384"/>
    <w:rsid w:val="0061533F"/>
    <w:rsid w:val="0062087B"/>
    <w:rsid w:val="00627790"/>
    <w:rsid w:val="006279C6"/>
    <w:rsid w:val="00634185"/>
    <w:rsid w:val="00647149"/>
    <w:rsid w:val="00671AF0"/>
    <w:rsid w:val="006774EB"/>
    <w:rsid w:val="00696802"/>
    <w:rsid w:val="00696F4D"/>
    <w:rsid w:val="006971DB"/>
    <w:rsid w:val="006A2698"/>
    <w:rsid w:val="006E6358"/>
    <w:rsid w:val="00746518"/>
    <w:rsid w:val="00746902"/>
    <w:rsid w:val="00760A98"/>
    <w:rsid w:val="00774835"/>
    <w:rsid w:val="0079075F"/>
    <w:rsid w:val="007E0F5B"/>
    <w:rsid w:val="00822354"/>
    <w:rsid w:val="008278E6"/>
    <w:rsid w:val="00833C4D"/>
    <w:rsid w:val="00861849"/>
    <w:rsid w:val="00867345"/>
    <w:rsid w:val="00887778"/>
    <w:rsid w:val="008A35E0"/>
    <w:rsid w:val="008A5089"/>
    <w:rsid w:val="008C1568"/>
    <w:rsid w:val="008C15CE"/>
    <w:rsid w:val="008C5539"/>
    <w:rsid w:val="008C780F"/>
    <w:rsid w:val="008D7E75"/>
    <w:rsid w:val="008E223E"/>
    <w:rsid w:val="008E236F"/>
    <w:rsid w:val="008E38AE"/>
    <w:rsid w:val="008F0823"/>
    <w:rsid w:val="0091392C"/>
    <w:rsid w:val="00923209"/>
    <w:rsid w:val="00935F73"/>
    <w:rsid w:val="0096483D"/>
    <w:rsid w:val="00970B2C"/>
    <w:rsid w:val="00977ADA"/>
    <w:rsid w:val="00987916"/>
    <w:rsid w:val="009A5CEC"/>
    <w:rsid w:val="009B2165"/>
    <w:rsid w:val="009B4812"/>
    <w:rsid w:val="009C6C6B"/>
    <w:rsid w:val="009D05E9"/>
    <w:rsid w:val="009D44F1"/>
    <w:rsid w:val="009F5BE8"/>
    <w:rsid w:val="009F703B"/>
    <w:rsid w:val="00A033A8"/>
    <w:rsid w:val="00A04BAE"/>
    <w:rsid w:val="00A12AD8"/>
    <w:rsid w:val="00A20F2D"/>
    <w:rsid w:val="00A32E66"/>
    <w:rsid w:val="00A44668"/>
    <w:rsid w:val="00A50531"/>
    <w:rsid w:val="00A561A3"/>
    <w:rsid w:val="00A74C0F"/>
    <w:rsid w:val="00AC5696"/>
    <w:rsid w:val="00AF1C70"/>
    <w:rsid w:val="00B132F8"/>
    <w:rsid w:val="00B200A6"/>
    <w:rsid w:val="00B21D62"/>
    <w:rsid w:val="00B22D36"/>
    <w:rsid w:val="00B32E06"/>
    <w:rsid w:val="00B95CAD"/>
    <w:rsid w:val="00B97C77"/>
    <w:rsid w:val="00BA29B5"/>
    <w:rsid w:val="00BC52AF"/>
    <w:rsid w:val="00BD4EBC"/>
    <w:rsid w:val="00BF4B25"/>
    <w:rsid w:val="00C038C7"/>
    <w:rsid w:val="00C040D1"/>
    <w:rsid w:val="00C14F22"/>
    <w:rsid w:val="00C211B3"/>
    <w:rsid w:val="00C25943"/>
    <w:rsid w:val="00C31F55"/>
    <w:rsid w:val="00C53198"/>
    <w:rsid w:val="00C655F1"/>
    <w:rsid w:val="00C65605"/>
    <w:rsid w:val="00CA478A"/>
    <w:rsid w:val="00CB0952"/>
    <w:rsid w:val="00CD610C"/>
    <w:rsid w:val="00CD63F2"/>
    <w:rsid w:val="00CE022C"/>
    <w:rsid w:val="00CF13DA"/>
    <w:rsid w:val="00CF60F5"/>
    <w:rsid w:val="00D00F39"/>
    <w:rsid w:val="00D01A5E"/>
    <w:rsid w:val="00D10EA2"/>
    <w:rsid w:val="00D2002E"/>
    <w:rsid w:val="00D23FA3"/>
    <w:rsid w:val="00D51C52"/>
    <w:rsid w:val="00D52FE3"/>
    <w:rsid w:val="00D77F84"/>
    <w:rsid w:val="00D87599"/>
    <w:rsid w:val="00D918DF"/>
    <w:rsid w:val="00D94E0F"/>
    <w:rsid w:val="00DB1B4C"/>
    <w:rsid w:val="00DC013A"/>
    <w:rsid w:val="00DD18BA"/>
    <w:rsid w:val="00DD4A18"/>
    <w:rsid w:val="00DD4F29"/>
    <w:rsid w:val="00DD73C2"/>
    <w:rsid w:val="00DE0323"/>
    <w:rsid w:val="00DF1A4F"/>
    <w:rsid w:val="00DF4696"/>
    <w:rsid w:val="00E06D1D"/>
    <w:rsid w:val="00E110B3"/>
    <w:rsid w:val="00E16297"/>
    <w:rsid w:val="00E17C0D"/>
    <w:rsid w:val="00E22059"/>
    <w:rsid w:val="00E36CD3"/>
    <w:rsid w:val="00E4575F"/>
    <w:rsid w:val="00E5353C"/>
    <w:rsid w:val="00E62D3B"/>
    <w:rsid w:val="00E84877"/>
    <w:rsid w:val="00E91F43"/>
    <w:rsid w:val="00EE2FB0"/>
    <w:rsid w:val="00EF20C5"/>
    <w:rsid w:val="00F03578"/>
    <w:rsid w:val="00F36F9F"/>
    <w:rsid w:val="00F50C84"/>
    <w:rsid w:val="00F50F6E"/>
    <w:rsid w:val="00F65825"/>
    <w:rsid w:val="00F8302A"/>
    <w:rsid w:val="00F867C2"/>
    <w:rsid w:val="00F933D7"/>
    <w:rsid w:val="00FB3737"/>
    <w:rsid w:val="00FC6FF0"/>
    <w:rsid w:val="00FE3AA1"/>
    <w:rsid w:val="00FF0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7D02"/>
  <w15:chartTrackingRefBased/>
  <w15:docId w15:val="{389F1742-17E5-4D02-A09A-8A8E1F61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2F8"/>
    <w:rPr>
      <w:rFonts w:eastAsiaTheme="majorEastAsia" w:cstheme="majorBidi"/>
      <w:color w:val="272727" w:themeColor="text1" w:themeTint="D8"/>
    </w:rPr>
  </w:style>
  <w:style w:type="paragraph" w:styleId="Title">
    <w:name w:val="Title"/>
    <w:basedOn w:val="Normal"/>
    <w:next w:val="Normal"/>
    <w:link w:val="TitleChar"/>
    <w:uiPriority w:val="10"/>
    <w:qFormat/>
    <w:rsid w:val="00B1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2F8"/>
    <w:pPr>
      <w:spacing w:before="160"/>
      <w:jc w:val="center"/>
    </w:pPr>
    <w:rPr>
      <w:i/>
      <w:iCs/>
      <w:color w:val="404040" w:themeColor="text1" w:themeTint="BF"/>
    </w:rPr>
  </w:style>
  <w:style w:type="character" w:customStyle="1" w:styleId="QuoteChar">
    <w:name w:val="Quote Char"/>
    <w:basedOn w:val="DefaultParagraphFont"/>
    <w:link w:val="Quote"/>
    <w:uiPriority w:val="29"/>
    <w:rsid w:val="00B132F8"/>
    <w:rPr>
      <w:i/>
      <w:iCs/>
      <w:color w:val="404040" w:themeColor="text1" w:themeTint="BF"/>
    </w:rPr>
  </w:style>
  <w:style w:type="paragraph" w:styleId="ListParagraph">
    <w:name w:val="List Paragraph"/>
    <w:basedOn w:val="Normal"/>
    <w:uiPriority w:val="34"/>
    <w:qFormat/>
    <w:rsid w:val="00B132F8"/>
    <w:pPr>
      <w:ind w:left="720"/>
      <w:contextualSpacing/>
    </w:pPr>
  </w:style>
  <w:style w:type="character" w:styleId="IntenseEmphasis">
    <w:name w:val="Intense Emphasis"/>
    <w:basedOn w:val="DefaultParagraphFont"/>
    <w:uiPriority w:val="21"/>
    <w:qFormat/>
    <w:rsid w:val="00B132F8"/>
    <w:rPr>
      <w:i/>
      <w:iCs/>
      <w:color w:val="2F5496" w:themeColor="accent1" w:themeShade="BF"/>
    </w:rPr>
  </w:style>
  <w:style w:type="paragraph" w:styleId="IntenseQuote">
    <w:name w:val="Intense Quote"/>
    <w:basedOn w:val="Normal"/>
    <w:next w:val="Normal"/>
    <w:link w:val="IntenseQuoteChar"/>
    <w:uiPriority w:val="30"/>
    <w:qFormat/>
    <w:rsid w:val="00B13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2F8"/>
    <w:rPr>
      <w:i/>
      <w:iCs/>
      <w:color w:val="2F5496" w:themeColor="accent1" w:themeShade="BF"/>
    </w:rPr>
  </w:style>
  <w:style w:type="character" w:styleId="IntenseReference">
    <w:name w:val="Intense Reference"/>
    <w:basedOn w:val="DefaultParagraphFont"/>
    <w:uiPriority w:val="32"/>
    <w:qFormat/>
    <w:rsid w:val="00B132F8"/>
    <w:rPr>
      <w:b/>
      <w:bCs/>
      <w:smallCaps/>
      <w:color w:val="2F5496" w:themeColor="accent1" w:themeShade="BF"/>
      <w:spacing w:val="5"/>
    </w:rPr>
  </w:style>
  <w:style w:type="paragraph" w:customStyle="1" w:styleId="p1">
    <w:name w:val="p1"/>
    <w:rsid w:val="00DD4A18"/>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u w:color="000000"/>
      <w:bdr w:val="nil"/>
      <w14:ligatures w14:val="none"/>
    </w:rPr>
  </w:style>
  <w:style w:type="character" w:styleId="LineNumber">
    <w:name w:val="line number"/>
    <w:basedOn w:val="DefaultParagraphFont"/>
    <w:uiPriority w:val="99"/>
    <w:semiHidden/>
    <w:unhideWhenUsed/>
    <w:rsid w:val="00AC5696"/>
  </w:style>
  <w:style w:type="paragraph" w:customStyle="1" w:styleId="Body">
    <w:name w:val="Body"/>
    <w:link w:val="BodyChar"/>
    <w:rsid w:val="001510BF"/>
    <w:pPr>
      <w:pBdr>
        <w:top w:val="nil"/>
        <w:left w:val="nil"/>
        <w:bottom w:val="nil"/>
        <w:right w:val="nil"/>
        <w:between w:val="nil"/>
        <w:bar w:val="nil"/>
      </w:pBdr>
      <w:spacing w:line="256" w:lineRule="auto"/>
    </w:pPr>
    <w:rPr>
      <w:rFonts w:ascii="Calibri" w:eastAsia="Arial Unicode MS" w:hAnsi="Calibri" w:cs="Arial Unicode MS"/>
      <w:color w:val="000000"/>
      <w:sz w:val="22"/>
      <w:szCs w:val="22"/>
      <w:u w:color="000000"/>
      <w:bdr w:val="nil"/>
      <w14:textOutline w14:w="0" w14:cap="flat" w14:cmpd="sng" w14:algn="ctr">
        <w14:noFill/>
        <w14:prstDash w14:val="solid"/>
        <w14:bevel/>
      </w14:textOutline>
      <w14:ligatures w14:val="none"/>
    </w:rPr>
  </w:style>
  <w:style w:type="character" w:customStyle="1" w:styleId="BodyChar">
    <w:name w:val="Body Char"/>
    <w:basedOn w:val="DefaultParagraphFont"/>
    <w:link w:val="Body"/>
    <w:rsid w:val="001510BF"/>
    <w:rPr>
      <w:rFonts w:ascii="Calibri" w:eastAsia="Arial Unicode MS" w:hAnsi="Calibri" w:cs="Arial Unicode MS"/>
      <w:color w:val="000000"/>
      <w:sz w:val="22"/>
      <w:szCs w:val="22"/>
      <w:u w:color="000000"/>
      <w:bdr w:val="nil"/>
      <w14:textOutline w14:w="0" w14:cap="flat" w14:cmpd="sng" w14:algn="ctr">
        <w14:noFill/>
        <w14:prstDash w14:val="solid"/>
        <w14:bevel/>
      </w14:textOutline>
      <w14:ligatures w14:val="none"/>
    </w:rPr>
  </w:style>
  <w:style w:type="paragraph" w:customStyle="1" w:styleId="MPHeader2">
    <w:name w:val="MP_Header2"/>
    <w:basedOn w:val="Normal"/>
    <w:link w:val="MPHeader2Char"/>
    <w:qFormat/>
    <w:rsid w:val="00602384"/>
    <w:pPr>
      <w:pBdr>
        <w:top w:val="nil"/>
        <w:left w:val="nil"/>
        <w:bottom w:val="nil"/>
        <w:right w:val="nil"/>
        <w:between w:val="nil"/>
        <w:bar w:val="nil"/>
      </w:pBdr>
      <w:spacing w:after="0" w:line="240" w:lineRule="auto"/>
      <w:jc w:val="both"/>
    </w:pPr>
    <w:rPr>
      <w:rFonts w:ascii="Arial" w:eastAsia="Arial Unicode MS" w:hAnsi="Arial" w:cs="Arial"/>
      <w:b/>
      <w:bCs/>
      <w:sz w:val="20"/>
      <w:szCs w:val="20"/>
      <w:bdr w:val="nil"/>
      <w14:ligatures w14:val="none"/>
    </w:rPr>
  </w:style>
  <w:style w:type="character" w:customStyle="1" w:styleId="MPHeader2Char">
    <w:name w:val="MP_Header2 Char"/>
    <w:basedOn w:val="DefaultParagraphFont"/>
    <w:link w:val="MPHeader2"/>
    <w:rsid w:val="00602384"/>
    <w:rPr>
      <w:rFonts w:ascii="Arial" w:eastAsia="Arial Unicode MS" w:hAnsi="Arial" w:cs="Arial"/>
      <w:b/>
      <w:bCs/>
      <w:sz w:val="20"/>
      <w:szCs w:val="2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13</Pages>
  <Words>13546</Words>
  <Characters>89810</Characters>
  <Application>Microsoft Office Word</Application>
  <DocSecurity>0</DocSecurity>
  <Lines>1213</Lines>
  <Paragraphs>320</Paragraphs>
  <ScaleCrop>false</ScaleCrop>
  <Company/>
  <LinksUpToDate>false</LinksUpToDate>
  <CharactersWithSpaces>103036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192</cp:revision>
  <dcterms:created xsi:type="dcterms:W3CDTF">2026-05-26T10:22:00Z</dcterms:created>
  <dcterms:modified xsi:type="dcterms:W3CDTF">2026-06-26T11:41:00Z</dcterms:modified>
</cp:coreProperties>
</file>