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2AEB" w14:textId="4CCF9FFB" w:rsidR="00FA2CF0" w:rsidRDefault="00FA2CF0" w:rsidP="00794E2E">
      <w:pPr>
        <w:pStyle w:val="Duz1"/>
        <w:rPr>
          <w:lang w:val="en-US"/>
        </w:rPr>
      </w:pPr>
      <w:r w:rsidRPr="00794E2E">
        <w:t>Supplementary</w:t>
      </w:r>
      <w:r>
        <w:rPr>
          <w:lang w:val="en-US"/>
        </w:rPr>
        <w:t xml:space="preserve"> Material </w:t>
      </w:r>
    </w:p>
    <w:p w14:paraId="5E20713A" w14:textId="1397E820" w:rsidR="002D7541" w:rsidRDefault="002D7541" w:rsidP="00794E2E">
      <w:pPr>
        <w:pStyle w:val="Duz2"/>
      </w:pPr>
      <w:r>
        <w:t>Supplementary Methods</w:t>
      </w:r>
    </w:p>
    <w:p w14:paraId="7EFCF763" w14:textId="77777777" w:rsidR="00FA2CF0" w:rsidRDefault="00FA2CF0" w:rsidP="00794E2E">
      <w:pPr>
        <w:pStyle w:val="Duz3"/>
      </w:pPr>
      <w:r w:rsidRPr="00FA2CF0">
        <w:t>Extended MRI Data Acquisition and Preprocessing Parameters</w:t>
      </w:r>
    </w:p>
    <w:p w14:paraId="5B785382" w14:textId="77777777" w:rsidR="00794E2E" w:rsidRPr="00FA2CF0" w:rsidRDefault="00794E2E" w:rsidP="00794E2E">
      <w:pPr>
        <w:pStyle w:val="Duz3"/>
      </w:pPr>
    </w:p>
    <w:p w14:paraId="58206DF2" w14:textId="7DE291BF" w:rsidR="00FA2CF0" w:rsidRPr="00FA2CF0" w:rsidRDefault="009E40E3" w:rsidP="00FA2CF0">
      <w:pPr>
        <w:rPr>
          <w:lang w:val="en-US"/>
        </w:rPr>
      </w:pPr>
      <w:r w:rsidRPr="009E40E3">
        <w:rPr>
          <w:lang w:val="en-US"/>
        </w:rPr>
        <w:t xml:space="preserve">MRI examinations were performed using a 3.0 Tesla scanner (Siemens </w:t>
      </w:r>
      <w:proofErr w:type="spellStart"/>
      <w:r w:rsidRPr="009E40E3">
        <w:rPr>
          <w:lang w:val="en-US"/>
        </w:rPr>
        <w:t>Magnetom</w:t>
      </w:r>
      <w:proofErr w:type="spellEnd"/>
      <w:r w:rsidRPr="009E40E3">
        <w:rPr>
          <w:lang w:val="en-US"/>
        </w:rPr>
        <w:t xml:space="preserve"> </w:t>
      </w:r>
      <w:proofErr w:type="spellStart"/>
      <w:r w:rsidRPr="009E40E3">
        <w:rPr>
          <w:lang w:val="en-US"/>
        </w:rPr>
        <w:t>Verio</w:t>
      </w:r>
      <w:proofErr w:type="spellEnd"/>
      <w:r w:rsidRPr="009E40E3">
        <w:rPr>
          <w:lang w:val="en-US"/>
        </w:rPr>
        <w:t xml:space="preserve">, </w:t>
      </w:r>
      <w:proofErr w:type="spellStart"/>
      <w:r w:rsidRPr="009E40E3">
        <w:rPr>
          <w:lang w:val="en-US"/>
        </w:rPr>
        <w:t>Numaris</w:t>
      </w:r>
      <w:proofErr w:type="spellEnd"/>
      <w:r w:rsidRPr="009E40E3">
        <w:rPr>
          <w:lang w:val="en-US"/>
        </w:rPr>
        <w:t xml:space="preserve">/4, </w:t>
      </w:r>
      <w:proofErr w:type="spellStart"/>
      <w:r w:rsidRPr="009E40E3">
        <w:rPr>
          <w:lang w:val="en-US"/>
        </w:rPr>
        <w:t>Syngo</w:t>
      </w:r>
      <w:proofErr w:type="spellEnd"/>
      <w:r w:rsidRPr="009E40E3">
        <w:rPr>
          <w:lang w:val="en-US"/>
        </w:rPr>
        <w:t xml:space="preserve"> MR B17, Erlangen, Germany) equipped with a 12-channel head coil. Initially, structural images were acquired using axial TSE T2-weighted, coronal 3D-SPACE FLAIR (Dark fluid), and 3D-MPRAGE sequences. These images were reviewed at the console by a radiologist to exclude brain anomalies. Cases with no </w:t>
      </w:r>
      <w:proofErr w:type="spellStart"/>
      <w:r w:rsidRPr="009E40E3">
        <w:rPr>
          <w:lang w:val="en-US"/>
        </w:rPr>
        <w:t>radiopathological</w:t>
      </w:r>
      <w:proofErr w:type="spellEnd"/>
      <w:r w:rsidRPr="009E40E3">
        <w:rPr>
          <w:lang w:val="en-US"/>
        </w:rPr>
        <w:t xml:space="preserve"> findings were retained for further scanning, and the fMRI examination was conducted. Following the structural imaging, a 12-minute resting-state fMRI scan was acquired. The acquisition parameters were as follows: TR = 3000 </w:t>
      </w:r>
      <w:proofErr w:type="spellStart"/>
      <w:r w:rsidRPr="009E40E3">
        <w:rPr>
          <w:lang w:val="en-US"/>
        </w:rPr>
        <w:t>ms</w:t>
      </w:r>
      <w:proofErr w:type="spellEnd"/>
      <w:r w:rsidRPr="009E40E3">
        <w:rPr>
          <w:lang w:val="en-US"/>
        </w:rPr>
        <w:t xml:space="preserve">, TE = 30 </w:t>
      </w:r>
      <w:proofErr w:type="spellStart"/>
      <w:r w:rsidRPr="009E40E3">
        <w:rPr>
          <w:lang w:val="en-US"/>
        </w:rPr>
        <w:t>ms</w:t>
      </w:r>
      <w:proofErr w:type="spellEnd"/>
      <w:r w:rsidRPr="009E40E3">
        <w:rPr>
          <w:lang w:val="en-US"/>
        </w:rPr>
        <w:t>, flip angle (FA) = 90°, voxel size = 3 x 3 x 3 mm, matrix = 64 x 64, FOV = 192 x 192 mm.</w:t>
      </w:r>
    </w:p>
    <w:p w14:paraId="57ABCE55" w14:textId="772BA266" w:rsidR="00FA2CF0" w:rsidRDefault="00FA2CF0" w:rsidP="00FA2CF0">
      <w:pPr>
        <w:rPr>
          <w:lang w:val="en-US"/>
        </w:rPr>
      </w:pPr>
      <w:r w:rsidRPr="00FA2CF0">
        <w:rPr>
          <w:lang w:val="en-US"/>
        </w:rPr>
        <w:t xml:space="preserve">Functional data were preprocessed using Statistical Parametric Mapping (SPM12; </w:t>
      </w:r>
      <w:proofErr w:type="spellStart"/>
      <w:r w:rsidRPr="00FA2CF0">
        <w:rPr>
          <w:lang w:val="en-US"/>
        </w:rPr>
        <w:t>Wellcome</w:t>
      </w:r>
      <w:proofErr w:type="spellEnd"/>
      <w:r w:rsidRPr="00FA2CF0">
        <w:rPr>
          <w:lang w:val="en-US"/>
        </w:rPr>
        <w:t xml:space="preserve"> Trust Centre for Neuroimaging, London, UK) running on MATLAB. To allow for signal equilibration, the first [X] volumes of each run were discarded. The preprocessing pipeline included: slice-timing correction to account for acquisition time differences, spatial realignment to the first volume to correct for head motion, and co-registration of the anatomical T1 image to the mean functional EPI image. The anatomical image was segmented into gray matter, white matter, and cerebrospinal fluid, and the resulting deformation fields were used to spatially normalize the functional images into standard Montreal Neurological Institute (MNI) space, resampling to a voxel size of 2 × 2 × 2 mm³. Finally, the normalized functional images were spatially smoothed using an 8 mm </w:t>
      </w:r>
      <w:proofErr w:type="gramStart"/>
      <w:r w:rsidRPr="00FA2CF0">
        <w:rPr>
          <w:lang w:val="en-US"/>
        </w:rPr>
        <w:t>full-width</w:t>
      </w:r>
      <w:proofErr w:type="gramEnd"/>
      <w:r w:rsidRPr="00FA2CF0">
        <w:rPr>
          <w:lang w:val="en-US"/>
        </w:rPr>
        <w:t xml:space="preserve"> at half-maximum (FWHM) isotropic Gaussian kernel.</w:t>
      </w:r>
      <w:r w:rsidR="00AD6B90">
        <w:rPr>
          <w:lang w:val="en-US"/>
        </w:rPr>
        <w:t xml:space="preserve"> </w:t>
      </w:r>
    </w:p>
    <w:p w14:paraId="17573274" w14:textId="77777777" w:rsidR="00FA2CF0" w:rsidRDefault="00FA2CF0" w:rsidP="00FA2CF0">
      <w:pPr>
        <w:rPr>
          <w:lang w:val="en-US"/>
        </w:rPr>
      </w:pPr>
    </w:p>
    <w:p w14:paraId="5039DE62" w14:textId="075B5EE4" w:rsidR="00FA2CF0" w:rsidRDefault="00FA2CF0" w:rsidP="00FA2CF0">
      <w:pPr>
        <w:rPr>
          <w:lang w:val="en-US"/>
        </w:rPr>
      </w:pPr>
      <w:r>
        <w:t>Extended fMRI Statistical Modeling</w:t>
      </w:r>
    </w:p>
    <w:p w14:paraId="6FA9E9E2" w14:textId="07499B6B" w:rsidR="00FA2CF0" w:rsidRDefault="00FA2CF0" w:rsidP="00FA2CF0">
      <w:r>
        <w:t>At the first (subject) level, blood-oxygen-level-dependent (BOLD) responses were modeled using a General Linear Model (GLM). The task phases (</w:t>
      </w:r>
      <w:r>
        <w:rPr>
          <w:i/>
          <w:iCs/>
        </w:rPr>
        <w:t>Decision</w:t>
      </w:r>
      <w:r>
        <w:t xml:space="preserve">, </w:t>
      </w:r>
      <w:r>
        <w:rPr>
          <w:i/>
          <w:iCs/>
        </w:rPr>
        <w:t>Anticipation</w:t>
      </w:r>
      <w:r>
        <w:t xml:space="preserve">, and </w:t>
      </w:r>
      <w:r>
        <w:rPr>
          <w:i/>
          <w:iCs/>
        </w:rPr>
        <w:t>Response</w:t>
      </w:r>
      <w:r>
        <w:t xml:space="preserve">) were modeled as event-related delta functions convolved with the canonical hemodynamic response function (HRF). To identify brain regions tracking computational learning signals independently of visual feedback, the trial-by-trial Prediction Error (PE) was entered as a parametric modulator on the </w:t>
      </w:r>
      <w:r>
        <w:rPr>
          <w:i/>
          <w:iCs/>
        </w:rPr>
        <w:t>Response</w:t>
      </w:r>
      <w:r>
        <w:t xml:space="preserve"> onset. To account for physiological </w:t>
      </w:r>
      <w:r>
        <w:lastRenderedPageBreak/>
        <w:t xml:space="preserve">and movement-related noise, six rigid-body head motion parameters (three translations, three rotations) were included as nuisance regressors. A high-pass filter with a cutoff of 128 seconds was applied to remove low-frequency drifts. Parameter estimate images and contrast images generated at the first level were subsequently entered into the second-level two-sample </w:t>
      </w:r>
      <w:r>
        <w:rPr>
          <w:i/>
          <w:iCs/>
        </w:rPr>
        <w:t>t</w:t>
      </w:r>
      <w:r>
        <w:t>-tests and multiple regression analyses.</w:t>
      </w:r>
    </w:p>
    <w:p w14:paraId="68E0637E" w14:textId="7D34AA8E" w:rsidR="00CC72C0" w:rsidRDefault="00AD6B90" w:rsidP="00FA2CF0">
      <w:r>
        <w:t xml:space="preserve">2.4 </w:t>
      </w:r>
      <w:r w:rsidRPr="00935BC7">
        <w:t>Computational Learning Model Based on Rescorla-Wagner</w:t>
      </w:r>
    </w:p>
    <w:p w14:paraId="557E10C3" w14:textId="77777777" w:rsidR="00AD6B90" w:rsidRPr="008704A5" w:rsidRDefault="00AD6B90" w:rsidP="00AD6B90">
      <w:pPr>
        <w:rPr>
          <w:rFonts w:eastAsia="Calibri"/>
        </w:rPr>
      </w:pPr>
      <w:r w:rsidRPr="008704A5">
        <w:rPr>
          <w:rFonts w:eastAsia="Calibri"/>
        </w:rPr>
        <w:t xml:space="preserve">We implemented a standard Rescorla-Wagner Reinforcement Learning model to characterize the trial-by-trial reward predictions and learning dynamics of participants during the sequential investment task. </w:t>
      </w:r>
      <w:r>
        <w:rPr>
          <w:rFonts w:eastAsia="Calibri"/>
        </w:rPr>
        <w:t>The model estimates how participants dynamically update their expectations based on the feedback they receive, utilizing two primary parameters: the learning rate (</w:t>
      </w:r>
      <m:oMath>
        <m:r>
          <w:rPr>
            <w:rFonts w:ascii="Cambria Math" w:eastAsia="Calibri" w:hAnsi="Cambria Math"/>
          </w:rPr>
          <m:t>α</m:t>
        </m:r>
      </m:oMath>
      <w:r>
        <w:rPr>
          <w:rFonts w:eastAsia="Calibri"/>
        </w:rPr>
        <w:t>) and the inverse temperature (</w:t>
      </w:r>
      <m:oMath>
        <m:r>
          <w:rPr>
            <w:rFonts w:ascii="Cambria Math" w:eastAsia="Calibri" w:hAnsi="Cambria Math"/>
          </w:rPr>
          <m:t>β</m:t>
        </m:r>
      </m:oMath>
      <w:r>
        <w:rPr>
          <w:rFonts w:eastAsia="Calibri"/>
        </w:rPr>
        <w:t>).</w:t>
      </w:r>
    </w:p>
    <w:p w14:paraId="7F669A17" w14:textId="77777777" w:rsidR="00AD6B90" w:rsidRPr="008704A5" w:rsidRDefault="00AD6B90" w:rsidP="00AD6B90">
      <w:pPr>
        <w:pStyle w:val="Duz3"/>
      </w:pPr>
      <w:r w:rsidRPr="008704A5">
        <w:t>2.4.1 Model Architecture</w:t>
      </w:r>
    </w:p>
    <w:p w14:paraId="1E3270B3" w14:textId="77777777" w:rsidR="00AD6B90" w:rsidRDefault="00AD6B90" w:rsidP="00AD6B90">
      <w:pPr>
        <w:pStyle w:val="Duz4"/>
      </w:pPr>
      <w:r>
        <w:t xml:space="preserve">2.4.1.1 </w:t>
      </w:r>
      <w:r w:rsidRPr="00BD638E">
        <w:t>Value Updating and Prediction Error</w:t>
      </w:r>
    </w:p>
    <w:p w14:paraId="101A3EC0" w14:textId="77777777" w:rsidR="00AD6B90" w:rsidRDefault="00AD6B90" w:rsidP="00AD6B90">
      <w:pPr>
        <w:rPr>
          <w:rFonts w:eastAsia="Calibri"/>
        </w:rPr>
      </w:pPr>
      <w:r>
        <w:rPr>
          <w:rFonts w:eastAsia="Calibri"/>
        </w:rPr>
        <w:t>For each trial t, the prediction error (</w:t>
      </w:r>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w:r>
        <w:rPr>
          <w:rFonts w:eastAsia="Calibri"/>
        </w:rPr>
        <w:t>) was calculated as the difference between the actual outcome received (</w:t>
      </w:r>
      <m:oMath>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oMath>
      <w:r>
        <w:rPr>
          <w:rFonts w:eastAsia="Calibri"/>
        </w:rPr>
        <w:t>) and the participant’s expected value for the chosen action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oMath>
      <w:r>
        <w:rPr>
          <w:rFonts w:eastAsia="Calibri"/>
        </w:rPr>
        <w:t>):</w:t>
      </w:r>
    </w:p>
    <w:p w14:paraId="59E5F64F" w14:textId="77777777" w:rsidR="00AD6B90" w:rsidRDefault="00AD6B90" w:rsidP="00AD6B90">
      <w:pPr>
        <w:rPr>
          <w:rFonts w:eastAsia="Calibri"/>
        </w:rPr>
      </w:pPr>
    </w:p>
    <w:p w14:paraId="66271521" w14:textId="77777777" w:rsidR="00AD6B90" w:rsidRPr="00BD638E" w:rsidRDefault="00AD6B90" w:rsidP="00AD6B90">
      <w:pPr>
        <w:rPr>
          <w:rFonts w:eastAsia="Calibri"/>
        </w:rPr>
      </w:pPr>
      <m:oMathPara>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m:t>
          </m:r>
        </m:oMath>
      </m:oMathPara>
    </w:p>
    <w:p w14:paraId="04628A6E" w14:textId="77777777" w:rsidR="00AD6B90" w:rsidRDefault="00AD6B90" w:rsidP="00AD6B90">
      <w:pPr>
        <w:rPr>
          <w:rFonts w:eastAsia="Calibri"/>
        </w:rPr>
      </w:pPr>
    </w:p>
    <w:p w14:paraId="53653F9A" w14:textId="77777777" w:rsidR="00AD6B90" w:rsidRPr="00E46B70" w:rsidRDefault="00AD6B90" w:rsidP="00AD6B90">
      <w:pPr>
        <w:rPr>
          <w:rFonts w:eastAsia="Calibri"/>
        </w:rPr>
      </w:pPr>
      <w:r>
        <w:rPr>
          <w:rFonts w:eastAsia="Calibri"/>
        </w:rPr>
        <w:t>This prediction error was then used to update the expected value for that choice in the subsequent trial (</w:t>
      </w:r>
      <m:oMath>
        <m:r>
          <w:rPr>
            <w:rFonts w:ascii="Cambria Math" w:eastAsia="Calibri" w:hAnsi="Cambria Math"/>
          </w:rPr>
          <m:t>t+1</m:t>
        </m:r>
      </m:oMath>
      <w:r>
        <w:rPr>
          <w:rFonts w:eastAsia="Calibri"/>
        </w:rPr>
        <w:t>), scaled by the learning rate (</w:t>
      </w:r>
      <m:oMath>
        <m:r>
          <w:rPr>
            <w:rFonts w:ascii="Cambria Math" w:eastAsia="Calibri" w:hAnsi="Cambria Math"/>
          </w:rPr>
          <m:t>α</m:t>
        </m:r>
      </m:oMath>
      <w:r>
        <w:rPr>
          <w:rFonts w:eastAsia="Calibri"/>
        </w:rPr>
        <w:t>):</w:t>
      </w:r>
    </w:p>
    <w:p w14:paraId="6E45E623" w14:textId="77777777" w:rsidR="00AD6B90" w:rsidRDefault="00AD6B90" w:rsidP="00AD6B90">
      <w:pPr>
        <w:rPr>
          <w:rFonts w:eastAsia="Calibri"/>
        </w:rPr>
      </w:pPr>
    </w:p>
    <w:p w14:paraId="0A9ABBD6" w14:textId="77777777" w:rsidR="00AD6B90" w:rsidRPr="008704A5" w:rsidRDefault="00AD6B90" w:rsidP="00AD6B90">
      <w:pPr>
        <w:rPr>
          <w:rFonts w:eastAsia="Calibri"/>
        </w:rPr>
      </w:pPr>
      <m:oMathPara>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t+1</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+α  ⋅ </m:t>
          </m:r>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m:oMathPara>
    </w:p>
    <w:p w14:paraId="6D24C29A" w14:textId="77777777" w:rsidR="00AD6B90" w:rsidRPr="008704A5" w:rsidRDefault="00AD6B90" w:rsidP="00AD6B90">
      <w:pPr>
        <w:rPr>
          <w:rFonts w:eastAsia="Calibri"/>
        </w:rPr>
      </w:pPr>
    </w:p>
    <w:p w14:paraId="364A8130" w14:textId="77777777" w:rsidR="00AD6B90" w:rsidRDefault="00AD6B90" w:rsidP="00AD6B90">
      <w:pPr>
        <w:rPr>
          <w:rFonts w:eastAsia="Calibri"/>
        </w:rPr>
      </w:pPr>
      <w:r>
        <w:rPr>
          <w:rFonts w:eastAsia="Calibri"/>
        </w:rPr>
        <w:t>The learning rate (</w:t>
      </w:r>
      <m:oMath>
        <m:r>
          <w:rPr>
            <w:rFonts w:ascii="Cambria Math" w:eastAsia="Calibri" w:hAnsi="Cambria Math"/>
          </w:rPr>
          <m:t>0≤α ≤1)</m:t>
        </m:r>
      </m:oMath>
      <w:r>
        <w:rPr>
          <w:rFonts w:eastAsia="Calibri"/>
        </w:rPr>
        <w:t xml:space="preserve"> dictates the extent which a newly acquired information overrides older information. A higher </w:t>
      </w:r>
      <m:oMath>
        <m:r>
          <w:rPr>
            <w:rFonts w:ascii="Cambria Math" w:eastAsia="Calibri" w:hAnsi="Cambria Math"/>
          </w:rPr>
          <m:t>α</m:t>
        </m:r>
      </m:oMath>
      <w:r>
        <w:rPr>
          <w:rFonts w:eastAsia="Calibri"/>
        </w:rPr>
        <w:t xml:space="preserve">  indicates rapid updating based on recent feedback, whereas a lower </w:t>
      </w:r>
      <m:oMath>
        <m:r>
          <w:rPr>
            <w:rFonts w:ascii="Cambria Math" w:eastAsia="Calibri" w:hAnsi="Cambria Math"/>
          </w:rPr>
          <m:t>α</m:t>
        </m:r>
      </m:oMath>
      <w:r>
        <w:rPr>
          <w:rFonts w:eastAsia="Calibri"/>
        </w:rPr>
        <w:t xml:space="preserve"> reflects slower, more integrated learning over time. </w:t>
      </w:r>
    </w:p>
    <w:p w14:paraId="634ACFD9" w14:textId="77777777" w:rsidR="00AD6B90" w:rsidRDefault="00AD6B90" w:rsidP="00AD6B90">
      <w:pPr>
        <w:rPr>
          <w:rFonts w:eastAsia="Calibri"/>
        </w:rPr>
      </w:pPr>
    </w:p>
    <w:p w14:paraId="4814A7A0" w14:textId="77777777" w:rsidR="00AD6B90" w:rsidRDefault="00AD6B90" w:rsidP="00AD6B90">
      <w:pPr>
        <w:pStyle w:val="Duz4"/>
      </w:pPr>
      <w:r>
        <w:lastRenderedPageBreak/>
        <w:t>2.4.1.2 Action Selection</w:t>
      </w:r>
    </w:p>
    <w:p w14:paraId="5B6F7F43" w14:textId="77777777" w:rsidR="00AD6B90" w:rsidRPr="005009AC" w:rsidRDefault="00AD6B90" w:rsidP="00AD6B90">
      <w:r>
        <w:t xml:space="preserve">To model how the participants translated these internal expected values into actual choices, we utilized a Softmax action selection rule. </w:t>
      </w:r>
      <w:r w:rsidRPr="008704A5">
        <w:rPr>
          <w:rFonts w:eastAsia="Calibri"/>
        </w:rPr>
        <w:t xml:space="preserve">The probability of choosing to invest in trial </w:t>
      </w:r>
      <m:oMath>
        <m:r>
          <w:rPr>
            <w:rFonts w:ascii="Cambria Math" w:eastAsia="Calibri" w:hAnsi="Cambria Math"/>
          </w:rPr>
          <m:t>t</m:t>
        </m:r>
      </m:oMath>
      <w:r w:rsidRPr="008704A5">
        <w:rPr>
          <w:rFonts w:eastAsia="Calibri"/>
        </w:rPr>
        <w:t xml:space="preserve"> was determined by a Softmax choice rule:</w:t>
      </w:r>
    </w:p>
    <w:p w14:paraId="5F721AE2" w14:textId="77777777" w:rsidR="00AD6B90" w:rsidRPr="008704A5" w:rsidRDefault="00AD6B90" w:rsidP="00AD6B90">
      <w:pPr>
        <w:rPr>
          <w:rFonts w:eastAsia="Calibri"/>
        </w:rPr>
      </w:pPr>
    </w:p>
    <w:p w14:paraId="377E3F5F" w14:textId="77777777" w:rsidR="00AD6B90" w:rsidRPr="008704A5" w:rsidRDefault="00AD6B90" w:rsidP="00AD6B90">
      <w:pPr>
        <w:rPr>
          <w:rFonts w:eastAsia="Calibri"/>
        </w:rPr>
      </w:pPr>
      <m:oMathPara>
        <m:oMath>
          <m:r>
            <w:rPr>
              <w:rFonts w:ascii="Cambria Math" w:eastAsia="Calibri" w:hAnsi="Cambria Math"/>
            </w:rPr>
            <m:t>P(inves</m:t>
          </m:r>
          <m:sSub>
            <m:sSubPr>
              <m:ctrlPr>
                <w:rPr>
                  <w:rFonts w:ascii="Cambria Math" w:eastAsia="Calibri" w:hAnsi="Cambria Math"/>
                  <w:i/>
                </w:rPr>
              </m:ctrlPr>
            </m:sSubPr>
            <m:e>
              <m:r>
                <w:rPr>
                  <w:rFonts w:ascii="Cambria Math" w:eastAsia="Calibri" w:hAnsi="Cambria Math"/>
                </w:rPr>
                <m:t>t</m:t>
              </m:r>
            </m:e>
            <m:sub>
              <m:r>
                <w:rPr>
                  <w:rFonts w:ascii="Cambria Math" w:eastAsia="Calibri" w:hAnsi="Cambria Math"/>
                </w:rPr>
                <m:t>t</m:t>
              </m:r>
            </m:sub>
          </m:sSub>
          <m:r>
            <w:rPr>
              <w:rFonts w:ascii="Cambria Math" w:eastAsia="Calibri" w:hAnsi="Cambria Math"/>
            </w:rPr>
            <m:t xml:space="preserve">) = </m:t>
          </m:r>
          <m:f>
            <m:fPr>
              <m:ctrlPr>
                <w:rPr>
                  <w:rFonts w:ascii="Cambria Math" w:eastAsia="Calibri" w:hAnsi="Cambria Math"/>
                  <w:i/>
                </w:rPr>
              </m:ctrlPr>
            </m:fPr>
            <m:num>
              <m:r>
                <w:rPr>
                  <w:rFonts w:ascii="Cambria Math" w:eastAsia="Calibri" w:hAnsi="Cambria Math"/>
                </w:rPr>
                <m:t>1</m:t>
              </m:r>
            </m:num>
            <m:den>
              <m:r>
                <w:rPr>
                  <w:rFonts w:ascii="Cambria Math" w:eastAsia="Calibri" w:hAnsi="Cambria Math"/>
                </w:rPr>
                <m:t>1+</m:t>
              </m:r>
              <m:sSup>
                <m:sSupPr>
                  <m:ctrlPr>
                    <w:rPr>
                      <w:rFonts w:ascii="Cambria Math" w:eastAsia="Calibri" w:hAnsi="Cambria Math"/>
                      <w:i/>
                    </w:rPr>
                  </m:ctrlPr>
                </m:sSupPr>
                <m:e>
                  <m:r>
                    <w:rPr>
                      <w:rFonts w:ascii="Cambria Math" w:eastAsia="Calibri" w:hAnsi="Cambria Math"/>
                    </w:rPr>
                    <m:t>e</m:t>
                  </m:r>
                </m:e>
                <m:sup>
                  <m:r>
                    <w:rPr>
                      <w:rFonts w:ascii="Cambria Math" w:eastAsia="Calibri" w:hAnsi="Cambria Math"/>
                    </w:rPr>
                    <m:t>-β(</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r>
                    <w:rPr>
                      <w:rFonts w:ascii="Cambria Math" w:eastAsia="Calibri" w:hAnsi="Cambria Math"/>
                    </w:rPr>
                    <m:t>)</m:t>
                  </m:r>
                </m:sup>
              </m:sSup>
            </m:den>
          </m:f>
        </m:oMath>
      </m:oMathPara>
    </w:p>
    <w:p w14:paraId="0151EF3D" w14:textId="77777777" w:rsidR="00AD6B90" w:rsidRPr="008704A5" w:rsidRDefault="00AD6B90" w:rsidP="00AD6B90">
      <w:pPr>
        <w:rPr>
          <w:rFonts w:eastAsia="Calibri"/>
        </w:rPr>
      </w:pPr>
    </w:p>
    <w:p w14:paraId="3F53B4D4" w14:textId="77777777" w:rsidR="00AD6B90" w:rsidRDefault="00AD6B90" w:rsidP="00AD6B90">
      <w:pPr>
        <w:rPr>
          <w:rFonts w:eastAsia="Calibri"/>
        </w:rPr>
      </w:pPr>
      <w:r w:rsidRPr="008704A5">
        <w:rPr>
          <w:rFonts w:eastAsia="Calibri"/>
        </w:rPr>
        <w:t xml:space="preserve">Here,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oMath>
      <w:r w:rsidRPr="008704A5">
        <w:rPr>
          <w:rFonts w:eastAsia="Calibri"/>
        </w:rPr>
        <w:t xml:space="preserve"> represents the constant value of the safe option and </w:t>
      </w:r>
      <m:oMath>
        <m:r>
          <w:rPr>
            <w:rFonts w:ascii="Cambria Math" w:eastAsia="Calibri" w:hAnsi="Cambria Math"/>
          </w:rPr>
          <m:t>β</m:t>
        </m:r>
      </m:oMath>
      <w:r w:rsidRPr="008704A5">
        <w:rPr>
          <w:rFonts w:eastAsia="Calibri"/>
        </w:rPr>
        <w:t xml:space="preserve"> (inverse temperature) represents the subjects’ decision consistency or sensitivity to the value difference. </w:t>
      </w:r>
      <w:r w:rsidRPr="00155D8D">
        <w:rPr>
          <w:rFonts w:eastAsia="Calibri"/>
        </w:rPr>
        <w:t xml:space="preserve">A low </w:t>
      </w:r>
      <m:oMath>
        <m:r>
          <w:rPr>
            <w:rFonts w:ascii="Cambria Math" w:eastAsia="Calibri" w:hAnsi="Cambria Math"/>
          </w:rPr>
          <m:t>β</m:t>
        </m:r>
      </m:oMath>
      <w:r w:rsidRPr="00155D8D">
        <w:rPr>
          <w:rFonts w:eastAsia="Calibri"/>
        </w:rPr>
        <w:t xml:space="preserve"> (approaching zero) flattens the choice probability distribution, reflecting high decision noise where the participant explores randomly regardless of the learned values. A high </w:t>
      </w:r>
      <m:oMath>
        <m:r>
          <w:rPr>
            <w:rFonts w:ascii="Cambria Math" w:eastAsia="Calibri" w:hAnsi="Cambria Math"/>
          </w:rPr>
          <m:t>β</m:t>
        </m:r>
      </m:oMath>
      <w:r w:rsidRPr="00155D8D">
        <w:rPr>
          <w:rFonts w:eastAsia="Calibri"/>
        </w:rPr>
        <w:t xml:space="preserve"> steepens the distribution, indicating precise, value-driven behavior where the participant strictly chooses the mathematically optimal option.</w:t>
      </w:r>
    </w:p>
    <w:p w14:paraId="6FB0AA64" w14:textId="77777777" w:rsidR="00AD6B90" w:rsidRDefault="00AD6B90" w:rsidP="00AD6B90">
      <w:pPr>
        <w:rPr>
          <w:rFonts w:eastAsia="Calibri"/>
        </w:rPr>
      </w:pPr>
    </w:p>
    <w:p w14:paraId="44AEEB36" w14:textId="77777777" w:rsidR="00AD6B90" w:rsidRPr="005144F5" w:rsidRDefault="00AD6B90" w:rsidP="00AD6B90">
      <w:pPr>
        <w:pStyle w:val="Duz3"/>
      </w:pPr>
      <w:r w:rsidRPr="008704A5">
        <w:t xml:space="preserve">2.4.2 Parameter Estimation and Model Selection </w:t>
      </w:r>
    </w:p>
    <w:p w14:paraId="0582539B" w14:textId="77777777" w:rsidR="00AD6B90" w:rsidRDefault="00AD6B90" w:rsidP="00AD6B90">
      <w:pPr>
        <w:rPr>
          <w:rFonts w:eastAsia="Calibri"/>
        </w:rPr>
      </w:pPr>
      <w:r>
        <w:rPr>
          <w:rFonts w:eastAsia="Calibri"/>
        </w:rPr>
        <w:t>To ensure robust recovery of the global optimum and prevent convergence on local minima, subject-level parameters were estimated utilizing Maximum A Posteriori (MAP) estimation. Optimization was performed using the L-BFGS-B algorithm embedded within a multi-start procedure. Models were fitted by minimizing negative log-posterior of the observed choices. To constrain estimates within psychologically plausible ranges and penalize extreme values, we applied weakly informative priors: a Beta prior for learning rate (</w:t>
      </w:r>
      <m:oMath>
        <m:r>
          <w:rPr>
            <w:rFonts w:ascii="Cambria Math" w:eastAsia="Calibri" w:hAnsi="Cambria Math"/>
          </w:rPr>
          <m:t>α  ~ Beta(1.1,1.1)</m:t>
        </m:r>
      </m:oMath>
      <w:r>
        <w:rPr>
          <w:rFonts w:eastAsia="Calibri"/>
        </w:rPr>
        <w:t xml:space="preserve">) and a Gamma prior for the inverse temperature </w:t>
      </w:r>
      <m:oMath>
        <m:r>
          <w:rPr>
            <w:rFonts w:ascii="Cambria Math" w:eastAsia="Calibri" w:hAnsi="Cambria Math"/>
          </w:rPr>
          <m:t>(β ~ Gamma (k = 2.5, θ=2.5)</m:t>
        </m:r>
      </m:oMath>
      <w:r>
        <w:rPr>
          <w:rFonts w:eastAsia="Calibri"/>
        </w:rPr>
        <w:t xml:space="preserve">). </w:t>
      </w:r>
    </w:p>
    <w:p w14:paraId="73CE24BE" w14:textId="77777777" w:rsidR="00AD6B90" w:rsidRDefault="00AD6B90" w:rsidP="00AD6B90">
      <w:pPr>
        <w:rPr>
          <w:rFonts w:eastAsia="Calibri"/>
        </w:rPr>
      </w:pPr>
    </w:p>
    <w:p w14:paraId="46647925" w14:textId="77777777" w:rsidR="00AD6B90" w:rsidRDefault="00AD6B90" w:rsidP="00AD6B90">
      <w:pPr>
        <w:rPr>
          <w:rFonts w:eastAsia="Calibri"/>
        </w:rPr>
      </w:pPr>
      <w:r>
        <w:rPr>
          <w:rFonts w:eastAsia="Calibri"/>
        </w:rPr>
        <w:t>Crucially, we formally compared two distinct computational architectures to characterize participant behavior, Simple RL Model and Adaptive RL Model. In simple RL model, a standard Rescorla – Wagner model governed by two fixed free parameters: a constant learning rate (</w:t>
      </w:r>
      <m:oMath>
        <m:r>
          <w:rPr>
            <w:rFonts w:ascii="Cambria Math" w:eastAsia="Calibri" w:hAnsi="Cambria Math"/>
          </w:rPr>
          <m:t>α</m:t>
        </m:r>
      </m:oMath>
      <w:r>
        <w:rPr>
          <w:rFonts w:eastAsia="Calibri"/>
        </w:rPr>
        <w:t xml:space="preserve"> </w:t>
      </w:r>
      <m:oMath>
        <m:r>
          <w:rPr>
            <w:rFonts w:ascii="Cambria Math" w:hAnsi="Cambria Math"/>
          </w:rPr>
          <m:t>∈</m:t>
        </m:r>
      </m:oMath>
      <w:r>
        <w:rPr>
          <w:rFonts w:eastAsia="Calibri"/>
        </w:rPr>
        <w:t xml:space="preserve"> [0,1]) and an inverse temperature parameter (</w:t>
      </w:r>
      <m:oMath>
        <m:r>
          <w:rPr>
            <w:rFonts w:ascii="Cambria Math" w:eastAsia="Calibri" w:hAnsi="Cambria Math"/>
          </w:rPr>
          <m:t>β</m:t>
        </m:r>
      </m:oMath>
      <w:r>
        <w:rPr>
          <w:rFonts w:eastAsia="Calibri"/>
        </w:rPr>
        <w:t xml:space="preserve"> </w:t>
      </w:r>
      <m:oMath>
        <m:r>
          <w:rPr>
            <w:rFonts w:ascii="Cambria Math" w:hAnsi="Cambria Math"/>
          </w:rPr>
          <m:t>∈</m:t>
        </m:r>
      </m:oMath>
      <w:r>
        <w:rPr>
          <w:rFonts w:eastAsia="Calibri"/>
        </w:rPr>
        <w:t xml:space="preserve"> [0.01, 30]). On the other hand, Adaptive RL Model includes an evolving learning rate model (ref) with three free parameters: an initial learning rate (</w:t>
      </w:r>
      <m:oMath>
        <m:sSub>
          <m:sSubPr>
            <m:ctrlPr>
              <w:rPr>
                <w:rFonts w:ascii="Cambria Math" w:eastAsia="Calibri" w:hAnsi="Cambria Math"/>
                <w:i/>
              </w:rPr>
            </m:ctrlPr>
          </m:sSubPr>
          <m:e>
            <m:r>
              <w:rPr>
                <w:rFonts w:ascii="Cambria Math" w:eastAsia="Calibri" w:hAnsi="Cambria Math"/>
              </w:rPr>
              <m:t>α</m:t>
            </m:r>
          </m:e>
          <m:sub>
            <m:r>
              <w:rPr>
                <w:rFonts w:ascii="Cambria Math" w:eastAsia="Calibri" w:hAnsi="Cambria Math"/>
              </w:rPr>
              <m:t>0</m:t>
            </m:r>
          </m:sub>
        </m:sSub>
      </m:oMath>
      <w:r>
        <w:rPr>
          <w:rFonts w:eastAsia="Calibri"/>
        </w:rPr>
        <w:t>), an update step-size (</w:t>
      </w:r>
      <m:oMath>
        <m:r>
          <w:rPr>
            <w:rFonts w:ascii="Cambria Math" w:eastAsia="Calibri" w:hAnsi="Cambria Math"/>
          </w:rPr>
          <m:t>ϵ</m:t>
        </m:r>
      </m:oMath>
      <w:r>
        <w:rPr>
          <w:rFonts w:eastAsia="Calibri"/>
        </w:rPr>
        <w:t xml:space="preserve"> </w:t>
      </w:r>
      <m:oMath>
        <m:r>
          <w:rPr>
            <w:rFonts w:ascii="Cambria Math" w:hAnsi="Cambria Math"/>
          </w:rPr>
          <m:t>∈</m:t>
        </m:r>
      </m:oMath>
      <w:r>
        <w:rPr>
          <w:rFonts w:eastAsia="Calibri"/>
        </w:rPr>
        <w:t xml:space="preserve"> [0,0.5]), and inverse temperature (</w:t>
      </w:r>
      <m:oMath>
        <m:r>
          <w:rPr>
            <w:rFonts w:ascii="Cambria Math" w:eastAsia="Calibri" w:hAnsi="Cambria Math"/>
          </w:rPr>
          <m:t>β</m:t>
        </m:r>
      </m:oMath>
      <w:r>
        <w:rPr>
          <w:rFonts w:eastAsia="Calibri"/>
        </w:rPr>
        <w:t xml:space="preserve">). In this architecture, the learning rate dynamically updates based on the social feedback of the Trustee. If the Trustee shares the investment (reward &gt; safe value), </w:t>
      </w:r>
      <m:oMath>
        <m:r>
          <w:rPr>
            <w:rFonts w:ascii="Cambria Math" w:eastAsia="Calibri" w:hAnsi="Cambria Math"/>
          </w:rPr>
          <m:t>α</m:t>
        </m:r>
      </m:oMath>
      <w:r>
        <w:rPr>
          <w:rFonts w:eastAsia="Calibri"/>
        </w:rPr>
        <w:t xml:space="preserve"> </w:t>
      </w:r>
      <w:r>
        <w:rPr>
          <w:rFonts w:eastAsia="Calibri"/>
        </w:rPr>
        <w:lastRenderedPageBreak/>
        <w:t xml:space="preserve">increases by </w:t>
      </w:r>
      <m:oMath>
        <m:r>
          <w:rPr>
            <w:rFonts w:ascii="Cambria Math" w:eastAsia="Calibri" w:hAnsi="Cambria Math"/>
          </w:rPr>
          <m:t>ϵ</m:t>
        </m:r>
      </m:oMath>
      <w:r>
        <w:rPr>
          <w:rFonts w:eastAsia="Calibri"/>
        </w:rPr>
        <w:t xml:space="preserve">; if the Trustee keeps the investment, </w:t>
      </w:r>
      <m:oMath>
        <m:r>
          <w:rPr>
            <w:rFonts w:ascii="Cambria Math" w:eastAsia="Calibri" w:hAnsi="Cambria Math"/>
          </w:rPr>
          <m:t>α</m:t>
        </m:r>
      </m:oMath>
      <w:r>
        <w:rPr>
          <w:rFonts w:eastAsia="Calibri"/>
        </w:rPr>
        <w:t xml:space="preserve"> decreases by </w:t>
      </w:r>
      <m:oMath>
        <m:r>
          <w:rPr>
            <w:rFonts w:ascii="Cambria Math" w:eastAsia="Calibri" w:hAnsi="Cambria Math"/>
          </w:rPr>
          <m:t>ϵ</m:t>
        </m:r>
      </m:oMath>
      <w:r>
        <w:rPr>
          <w:rFonts w:eastAsia="Calibri"/>
        </w:rPr>
        <w:t xml:space="preserve"> (bounded strictly between 0.001 and 1.0).</w:t>
      </w:r>
    </w:p>
    <w:p w14:paraId="17885E7B" w14:textId="77777777" w:rsidR="00AD6B90" w:rsidRDefault="00AD6B90" w:rsidP="00AD6B90">
      <w:pPr>
        <w:rPr>
          <w:rFonts w:eastAsia="Calibri"/>
        </w:rPr>
      </w:pPr>
    </w:p>
    <w:p w14:paraId="659D4695" w14:textId="77777777" w:rsidR="00AD6B90" w:rsidRDefault="00AD6B90" w:rsidP="00AD6B90">
      <w:pPr>
        <w:rPr>
          <w:rFonts w:eastAsia="Calibri"/>
        </w:rPr>
      </w:pPr>
      <w:r>
        <w:rPr>
          <w:rFonts w:eastAsia="Calibri"/>
        </w:rPr>
        <w:t xml:space="preserve">To determine the most parsimonious fit and account for the difference in model complexity (2 vs. 3 free parameters), models were evaluated using the Bayesian Information Criterion (BIC). </w:t>
      </w:r>
      <w:r w:rsidRPr="00384FA8">
        <w:rPr>
          <w:rFonts w:eastAsia="Calibri"/>
        </w:rPr>
        <w:t>Crucially, model selection was conducted at the group level rather than the individual level to ensure a standardized mathematical framework for all subsequent neuroimaging analyses. We calculated the cumulative sum of BIC scores across all participants for each respective model. The architecture yielding the lower total group-level BIC was selected as the superior, unified computational model for the entire cohort.</w:t>
      </w:r>
    </w:p>
    <w:p w14:paraId="6B864973" w14:textId="77777777" w:rsidR="0040340C" w:rsidRDefault="0040340C" w:rsidP="00AD6B90">
      <w:pPr>
        <w:rPr>
          <w:rFonts w:eastAsia="Calibri"/>
        </w:rPr>
      </w:pPr>
    </w:p>
    <w:p w14:paraId="542B820E" w14:textId="77777777" w:rsidR="0040340C" w:rsidRDefault="0040340C" w:rsidP="0040340C">
      <w:pPr>
        <w:pStyle w:val="Duz3"/>
      </w:pPr>
      <w:r w:rsidRPr="008704A5">
        <w:t>2.</w:t>
      </w:r>
      <w:r>
        <w:t>5</w:t>
      </w:r>
      <w:r w:rsidRPr="008704A5">
        <w:t xml:space="preserve"> Control Analys</w:t>
      </w:r>
      <w:r>
        <w:t>es</w:t>
      </w:r>
    </w:p>
    <w:p w14:paraId="242944C1" w14:textId="77777777" w:rsidR="0040340C" w:rsidRDefault="0040340C" w:rsidP="0040340C">
      <w:pPr>
        <w:pStyle w:val="Duz3"/>
      </w:pPr>
      <w:r w:rsidRPr="00935BC7">
        <w:t>2.5.1 Parameter Recovery</w:t>
      </w:r>
    </w:p>
    <w:p w14:paraId="419E5530" w14:textId="3F7DD2F3" w:rsidR="0040340C" w:rsidRDefault="0040340C" w:rsidP="0040340C">
      <w:r>
        <w:t>To validate the reliability of our task design and the robustness of our MAP estimation procedure, we conducted a parameter recovery analysis. The objective was to confirm that our optimization pipeline could accurately uncover the true underlying parameters driving behavior within the specific context of our experimental paradigm.</w:t>
      </w:r>
    </w:p>
    <w:p w14:paraId="3EF0DE87" w14:textId="01EEC164" w:rsidR="0040340C" w:rsidRDefault="0040340C" w:rsidP="0040340C">
      <w:r>
        <w:t>We simulated synthetic agents performing the exact 60-trial sequence used in the human experiment, adhering to the same shifting probabilistic reward schedule (80% reward probability in Block 1, 50% in Block 2, and 80% in Block 3). We generated ground-truth parameter combinations using five levels of learning rate within [0,1] bound (</w:t>
      </w:r>
      <m:oMath>
        <m:r>
          <w:rPr>
            <w:rFonts w:ascii="Cambria Math" w:hAnsi="Cambria Math"/>
          </w:rPr>
          <m:t>α</m:t>
        </m:r>
      </m:oMath>
      <w:r>
        <w:t xml:space="preserve"> </w:t>
      </w:r>
      <m:oMath>
        <m:r>
          <w:rPr>
            <w:rFonts w:ascii="Cambria Math" w:hAnsi="Cambria Math"/>
          </w:rPr>
          <m:t>∈</m:t>
        </m:r>
      </m:oMath>
      <w:r>
        <w:t xml:space="preserve"> </w:t>
      </w:r>
      <m:oMath>
        <m:r>
          <w:rPr>
            <w:rFonts w:ascii="Cambria Math" w:hAnsi="Cambria Math"/>
          </w:rPr>
          <m:t>{0.1, 0.3, 0.5, 0.7, 0.9}</m:t>
        </m:r>
      </m:oMath>
      <w:r>
        <w:t xml:space="preserve">) and three levels of inverse temperature </w:t>
      </w:r>
      <m:oMath>
        <m:r>
          <w:rPr>
            <w:rFonts w:ascii="Cambria Math" w:hAnsi="Cambria Math"/>
          </w:rPr>
          <m:t>(β∈</m:t>
        </m:r>
      </m:oMath>
      <w:r>
        <w:t xml:space="preserve"> </w:t>
      </w:r>
      <m:oMath>
        <m:r>
          <w:rPr>
            <w:rFonts w:ascii="Cambria Math" w:hAnsi="Cambria Math"/>
          </w:rPr>
          <m:t>{1.5, 4.5, 9.0}</m:t>
        </m:r>
      </m:oMath>
      <w:r>
        <w:t>). For each of the 15 parameter combinations, we simulated 30 independent artificial agents, generating synthetic choice and reward trajectories.</w:t>
      </w:r>
    </w:p>
    <w:p w14:paraId="3277FCD9" w14:textId="20E24F94" w:rsidR="0040340C" w:rsidRDefault="0040340C" w:rsidP="0040340C">
      <w:r>
        <w:t>These synthetic datasets were then fed back to our MAP estimation pipeline, completely blinded to the true generating parameters, to obtain recovered parameter estimates. Recovery success was quantified by calculating the Pearson correlation coefficient (</w:t>
      </w:r>
      <m:oMath>
        <m:r>
          <w:rPr>
            <w:rFonts w:ascii="Cambria Math" w:hAnsi="Cambria Math"/>
          </w:rPr>
          <m:t>ρ</m:t>
        </m:r>
      </m:oMath>
      <w:r>
        <w:t xml:space="preserve">) between the ground-truth parameter vales and the recovered MAP estimates, ensuring that our model does not suffer from parameter unidentifiability or severe trade-offs between </w:t>
      </w:r>
      <m:oMath>
        <m:r>
          <w:rPr>
            <w:rFonts w:ascii="Cambria Math" w:hAnsi="Cambria Math"/>
          </w:rPr>
          <m:t>α</m:t>
        </m:r>
      </m:oMath>
      <w:r>
        <w:t xml:space="preserve"> and </w:t>
      </w:r>
      <m:oMath>
        <m:r>
          <w:rPr>
            <w:rFonts w:ascii="Cambria Math" w:hAnsi="Cambria Math"/>
          </w:rPr>
          <m:t>β</m:t>
        </m:r>
      </m:oMath>
      <w:r>
        <w:t xml:space="preserve">. </w:t>
      </w:r>
    </w:p>
    <w:p w14:paraId="7B4B682B" w14:textId="77777777" w:rsidR="0040340C" w:rsidRPr="005144F5" w:rsidRDefault="0040340C" w:rsidP="0040340C">
      <w:pPr>
        <w:pStyle w:val="Duz3"/>
      </w:pPr>
      <w:r w:rsidRPr="00485103">
        <w:t>2.5.2 Predictive Validity Check and Model Fit</w:t>
      </w:r>
    </w:p>
    <w:p w14:paraId="652A6EF8" w14:textId="4FFF8331" w:rsidR="0040340C" w:rsidRDefault="0040340C" w:rsidP="0040340C">
      <w:r>
        <w:t xml:space="preserve">To ensure that fitted computational model accurately captured the true behavioral dynamics of our participants, we performed the predictive checks. For each participant, we </w:t>
      </w:r>
      <w:r>
        <w:lastRenderedPageBreak/>
        <w:t>utilized their individually fitted parameters (</w:t>
      </w:r>
      <m:oMath>
        <m:r>
          <w:rPr>
            <w:rFonts w:ascii="Cambria Math" w:hAnsi="Cambria Math"/>
          </w:rPr>
          <m:t xml:space="preserve">α </m:t>
        </m:r>
      </m:oMath>
      <w:r>
        <w:t xml:space="preserve">and </w:t>
      </w:r>
      <m:oMath>
        <m:r>
          <w:rPr>
            <w:rFonts w:ascii="Cambria Math" w:hAnsi="Cambria Math"/>
          </w:rPr>
          <m:t>β</m:t>
        </m:r>
      </m:oMath>
      <w:r>
        <w:t xml:space="preserve">) to simulate 100 independent iterations of the task, exposed to the exact same trial-by-trial reward sequence the human participant experienced. </w:t>
      </w:r>
    </w:p>
    <w:p w14:paraId="3D036F9C" w14:textId="1858C74B" w:rsidR="0040340C" w:rsidRDefault="0040340C" w:rsidP="0040340C">
      <w:r>
        <w:t xml:space="preserve">From these simulations, we computed a 95% Confidence Interval representing the model’s predicted average investment trend. This predicted interval was visually and mathematically compared against the participant’s actual trial-by-trial choices and their modeled latent investment probability trajectories. </w:t>
      </w:r>
    </w:p>
    <w:p w14:paraId="47DD77DB" w14:textId="77777777" w:rsidR="0040340C" w:rsidRDefault="0040340C" w:rsidP="0040340C">
      <w:pPr>
        <w:rPr>
          <w:rFonts w:eastAsia="Calibri"/>
        </w:rPr>
      </w:pPr>
      <w:r>
        <w:t>Finally, to quantitively assess absolute model fit, we calculated McFadden’s Pseudo-R</w:t>
      </w:r>
      <w:r w:rsidRPr="008C63DE">
        <w:rPr>
          <w:vertAlign w:val="superscript"/>
        </w:rPr>
        <w:t>2</w:t>
      </w:r>
      <w:r>
        <w:rPr>
          <w:vertAlign w:val="superscript"/>
        </w:rPr>
        <w:t xml:space="preserve">  </w:t>
      </w:r>
      <w:r>
        <w:rPr>
          <w:rFonts w:eastAsia="Calibri"/>
        </w:rPr>
        <w:t>for each participant. This was achieved by comparing the negative log-likelihood of the optimized RL model (excluding priors to assess pure data fit) against a baseline chance model representing completely random choice behavior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investment</m:t>
            </m:r>
          </m:sub>
        </m:sSub>
        <m:r>
          <w:rPr>
            <w:rFonts w:ascii="Cambria Math" w:eastAsia="Calibri" w:hAnsi="Cambria Math"/>
          </w:rPr>
          <m:t xml:space="preserve"> = 0.</m:t>
        </m:r>
      </m:oMath>
      <w:r w:rsidRPr="001618A0">
        <w:rPr>
          <w:rFonts w:eastAsia="Calibri"/>
        </w:rPr>
        <w:t>5</w:t>
      </w:r>
      <w:r>
        <w:rPr>
          <w:rFonts w:eastAsia="Calibri"/>
        </w:rPr>
        <w:t xml:space="preserve"> for all trials). The Pseudo-R</w:t>
      </w:r>
      <w:r w:rsidRPr="001618A0">
        <w:rPr>
          <w:rFonts w:eastAsia="Calibri"/>
          <w:vertAlign w:val="superscript"/>
        </w:rPr>
        <w:t>2</w:t>
      </w:r>
      <w:r>
        <w:rPr>
          <w:rFonts w:eastAsia="Calibri"/>
        </w:rPr>
        <w:t xml:space="preserve"> metric allowed us to verify the learning model provided a fundamentally superior explanation of the participant’s behavior compared to a non-learning, stochastic baseline. </w:t>
      </w:r>
    </w:p>
    <w:p w14:paraId="70049816" w14:textId="77777777" w:rsidR="0040340C" w:rsidRPr="00935BC7" w:rsidRDefault="0040340C" w:rsidP="0040340C"/>
    <w:p w14:paraId="75DA563E" w14:textId="069DC6EE" w:rsidR="0040340C" w:rsidRDefault="00063677" w:rsidP="00AD6B90">
      <w:pPr>
        <w:rPr>
          <w:rFonts w:eastAsia="Calibri"/>
        </w:rPr>
      </w:pPr>
      <w:r>
        <w:rPr>
          <w:rFonts w:eastAsia="Calibri"/>
        </w:rPr>
        <w:t xml:space="preserve">Supplementary Results </w:t>
      </w:r>
    </w:p>
    <w:p w14:paraId="4348459F" w14:textId="77777777" w:rsidR="00063677" w:rsidRDefault="00063677" w:rsidP="00AD6B90">
      <w:pPr>
        <w:rPr>
          <w:rFonts w:eastAsia="Calibri"/>
        </w:rPr>
      </w:pPr>
      <w:r w:rsidRPr="00063677">
        <w:rPr>
          <w:rFonts w:eastAsia="Calibri"/>
        </w:rPr>
        <w:t>Parameter Recovery</w:t>
      </w:r>
    </w:p>
    <w:p w14:paraId="4D4F3BBF" w14:textId="77777777" w:rsidR="00063677" w:rsidRDefault="00063677" w:rsidP="00AD6B90">
      <w:pPr>
        <w:rPr>
          <w:rFonts w:eastAsia="Calibri"/>
        </w:rPr>
      </w:pPr>
      <w:r w:rsidRPr="00063677">
        <w:rPr>
          <w:rFonts w:eastAsia="Calibri"/>
        </w:rPr>
        <w:t xml:space="preserve">To verify that our Maximum A Posteriori (MAP) estimation pipeline could reliably identify the true generating parameters of our reinforcement learning model, we conducted a parameter recovery analysis. We simulated synthetic choice data using the exact trial structure and reward contingencies of the empirical Trust Game.Using the empirical 60-trial task structure, we observed strong Pearson correlations between the ground-truth generating parameters and the recovered estimated parameters for both learning rate </w:t>
      </w:r>
      <m:oMath>
        <m:r>
          <w:rPr>
            <w:rFonts w:ascii="Cambria Math" w:hAnsi="Cambria Math"/>
          </w:rPr>
          <m:t>(α;ρ = 0.80</m:t>
        </m:r>
      </m:oMath>
      <w:r w:rsidRPr="003D6338">
        <w:t xml:space="preserve">) </w:t>
      </w:r>
      <w:r>
        <w:t xml:space="preserve"> </w:t>
      </w:r>
      <w:r w:rsidRPr="00063677">
        <w:rPr>
          <w:rFonts w:eastAsia="Calibri"/>
        </w:rPr>
        <w:t xml:space="preserve">and inverse temperature </w:t>
      </w:r>
      <m:oMath>
        <m:r>
          <w:rPr>
            <w:rFonts w:ascii="Cambria Math" w:hAnsi="Cambria Math"/>
          </w:rPr>
          <m:t>(β;ρ = 0.87</m:t>
        </m:r>
      </m:oMath>
      <w:r w:rsidRPr="00063677">
        <w:rPr>
          <w:rFonts w:eastAsia="Calibri"/>
        </w:rPr>
        <w:t xml:space="preserve">). To confirm the asymptotic identifiability of the model architecture, we conducted extended simulations using 300 trials, which yielded near-perfect recovery </w:t>
      </w:r>
      <m:oMath>
        <m:r>
          <w:rPr>
            <w:rFonts w:ascii="Cambria Math" w:hAnsi="Cambria Math"/>
          </w:rPr>
          <m:t>(ρ = 0.97</m:t>
        </m:r>
      </m:oMath>
      <w:r w:rsidRPr="00063677">
        <w:rPr>
          <w:rFonts w:eastAsia="Calibri"/>
        </w:rPr>
        <w:t>). These results demonstrate that any parameter noise in the empirical fits is driven by the standard constraints of the task length rather than fundamental parameter trade-offs within the model architecture.</w:t>
      </w:r>
    </w:p>
    <w:p w14:paraId="49D61660" w14:textId="3525492D" w:rsidR="00063677" w:rsidRDefault="00063677" w:rsidP="00AD6B90">
      <w:pPr>
        <w:rPr>
          <w:rFonts w:eastAsia="Calibri"/>
        </w:rPr>
      </w:pPr>
      <w:r>
        <w:rPr>
          <w:noProof/>
        </w:rPr>
        <w:lastRenderedPageBreak/>
        <w:drawing>
          <wp:inline distT="0" distB="0" distL="0" distR="0" wp14:anchorId="72751731" wp14:editId="11079675">
            <wp:extent cx="5486400" cy="2286000"/>
            <wp:effectExtent l="0" t="0" r="0" b="0"/>
            <wp:docPr id="245316099" name="Picture 1" descr="A comparison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16099" name="Picture 1" descr="A comparison of graphs and chart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486400" cy="2286000"/>
                    </a:xfrm>
                    <a:prstGeom prst="rect">
                      <a:avLst/>
                    </a:prstGeom>
                  </pic:spPr>
                </pic:pic>
              </a:graphicData>
            </a:graphic>
          </wp:inline>
        </w:drawing>
      </w:r>
    </w:p>
    <w:p w14:paraId="4C35DE0F" w14:textId="77777777" w:rsidR="00063677" w:rsidRDefault="00063677" w:rsidP="00AD6B90">
      <w:pPr>
        <w:rPr>
          <w:rFonts w:eastAsia="Calibri"/>
        </w:rPr>
      </w:pPr>
      <w:r w:rsidRPr="00063677">
        <w:rPr>
          <w:rFonts w:eastAsia="Calibri"/>
        </w:rPr>
        <w:t>Predictive Checks and Model Fit</w:t>
      </w:r>
    </w:p>
    <w:p w14:paraId="126AF32C" w14:textId="34A7587F" w:rsidR="00063677" w:rsidRDefault="00063677" w:rsidP="00AD6B90">
      <w:pPr>
        <w:rPr>
          <w:rFonts w:eastAsia="Calibri"/>
        </w:rPr>
      </w:pPr>
      <w:r>
        <w:rPr>
          <w:rFonts w:eastAsia="Calibri"/>
        </w:rPr>
        <w:t>P</w:t>
      </w:r>
      <w:r w:rsidRPr="00063677">
        <w:rPr>
          <w:rFonts w:eastAsia="Calibri"/>
        </w:rPr>
        <w:t>redictive checks confirmed that the individually fitted parameters successfully captured the empirical choice trajectories of the participants.</w:t>
      </w:r>
    </w:p>
    <w:p w14:paraId="5DA9C148" w14:textId="50CA76FE" w:rsidR="00AD6B90" w:rsidRPr="008704A5" w:rsidRDefault="00063677" w:rsidP="00AD6B90">
      <w:pPr>
        <w:rPr>
          <w:rFonts w:eastAsia="Calibri"/>
        </w:rPr>
      </w:pPr>
      <w:r>
        <w:rPr>
          <w:noProof/>
        </w:rPr>
        <w:drawing>
          <wp:inline distT="0" distB="0" distL="0" distR="0" wp14:anchorId="0243CEB6" wp14:editId="3F625FEC">
            <wp:extent cx="5943600" cy="2476500"/>
            <wp:effectExtent l="0" t="0" r="0" b="0"/>
            <wp:docPr id="1144472214" name="Picture 2"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72214" name="Picture 2" descr="A graph with a red line and a blue li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1055BFE2" w14:textId="77777777" w:rsidR="00AD6B90" w:rsidRPr="008704A5" w:rsidRDefault="00AD6B90" w:rsidP="00AD6B90">
      <w:pPr>
        <w:rPr>
          <w:rFonts w:eastAsia="Calibri"/>
        </w:rPr>
      </w:pPr>
    </w:p>
    <w:p w14:paraId="4D5E91A7" w14:textId="09264364" w:rsidR="00AD6B90" w:rsidRDefault="00063677" w:rsidP="00FA2CF0">
      <w:r>
        <w:rPr>
          <w:noProof/>
        </w:rPr>
        <w:lastRenderedPageBreak/>
        <w:drawing>
          <wp:inline distT="0" distB="0" distL="0" distR="0" wp14:anchorId="1BF3F81F" wp14:editId="1E52D07F">
            <wp:extent cx="5943600" cy="2476500"/>
            <wp:effectExtent l="0" t="0" r="0" b="0"/>
            <wp:docPr id="641454273" name="Picture 3"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54273" name="Picture 3" descr="A graph with a red l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B52D2CE" w14:textId="77777777" w:rsidR="00AD6B90" w:rsidRDefault="00AD6B90" w:rsidP="00FA2CF0"/>
    <w:p w14:paraId="00B033C4" w14:textId="77777777" w:rsidR="00AD6B90" w:rsidRDefault="00AD6B90" w:rsidP="00FA2CF0"/>
    <w:p w14:paraId="0A9238A0" w14:textId="35BBFF21" w:rsidR="00CC72C0" w:rsidRPr="00FA2CF0" w:rsidRDefault="00CC72C0" w:rsidP="00FA2CF0">
      <w:pPr>
        <w:rPr>
          <w:lang w:val="en-US"/>
        </w:rPr>
      </w:pPr>
      <w:r>
        <w:rPr>
          <w:noProof/>
          <w:lang w:val="en-US"/>
        </w:rPr>
        <w:drawing>
          <wp:inline distT="0" distB="0" distL="0" distR="0" wp14:anchorId="08377580" wp14:editId="1ABE077B">
            <wp:extent cx="5943600" cy="2546985"/>
            <wp:effectExtent l="0" t="0" r="0" b="5715"/>
            <wp:docPr id="2072369811" name="Picture 1"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69811" name="Picture 1" descr="A graph of a graph of a graph of a graph of a graph of a graph of a graph of a graph of a graph of a graph of a graph of a graph of a graph of&#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sectPr w:rsidR="00CC72C0" w:rsidRPr="00FA2C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CF0"/>
    <w:rsid w:val="0004193F"/>
    <w:rsid w:val="00063677"/>
    <w:rsid w:val="002D7541"/>
    <w:rsid w:val="00366218"/>
    <w:rsid w:val="00383BE2"/>
    <w:rsid w:val="003C0836"/>
    <w:rsid w:val="0040340C"/>
    <w:rsid w:val="00521879"/>
    <w:rsid w:val="005E441A"/>
    <w:rsid w:val="00614D1A"/>
    <w:rsid w:val="00794E2E"/>
    <w:rsid w:val="0095571D"/>
    <w:rsid w:val="009E40E3"/>
    <w:rsid w:val="00AD6B90"/>
    <w:rsid w:val="00CA6079"/>
    <w:rsid w:val="00CC72C0"/>
    <w:rsid w:val="00E33840"/>
    <w:rsid w:val="00E86BB1"/>
    <w:rsid w:val="00EC5E95"/>
    <w:rsid w:val="00FA2CF0"/>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24ED44F0"/>
  <w15:chartTrackingRefBased/>
  <w15:docId w15:val="{9A0733FD-9FC1-5D46-86CA-DB2E4A287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C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C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C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C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C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C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C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C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C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C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C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C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C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C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C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C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C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CF0"/>
    <w:rPr>
      <w:rFonts w:eastAsiaTheme="majorEastAsia" w:cstheme="majorBidi"/>
      <w:color w:val="272727" w:themeColor="text1" w:themeTint="D8"/>
    </w:rPr>
  </w:style>
  <w:style w:type="paragraph" w:styleId="Title">
    <w:name w:val="Title"/>
    <w:basedOn w:val="Normal"/>
    <w:next w:val="Normal"/>
    <w:link w:val="TitleChar"/>
    <w:uiPriority w:val="10"/>
    <w:qFormat/>
    <w:rsid w:val="00FA2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C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C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C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CF0"/>
    <w:pPr>
      <w:spacing w:before="160"/>
      <w:jc w:val="center"/>
    </w:pPr>
    <w:rPr>
      <w:i/>
      <w:iCs/>
      <w:color w:val="404040" w:themeColor="text1" w:themeTint="BF"/>
    </w:rPr>
  </w:style>
  <w:style w:type="character" w:customStyle="1" w:styleId="QuoteChar">
    <w:name w:val="Quote Char"/>
    <w:basedOn w:val="DefaultParagraphFont"/>
    <w:link w:val="Quote"/>
    <w:uiPriority w:val="29"/>
    <w:rsid w:val="00FA2CF0"/>
    <w:rPr>
      <w:i/>
      <w:iCs/>
      <w:color w:val="404040" w:themeColor="text1" w:themeTint="BF"/>
    </w:rPr>
  </w:style>
  <w:style w:type="paragraph" w:styleId="ListParagraph">
    <w:name w:val="List Paragraph"/>
    <w:basedOn w:val="Normal"/>
    <w:uiPriority w:val="34"/>
    <w:qFormat/>
    <w:rsid w:val="00FA2CF0"/>
    <w:pPr>
      <w:ind w:left="720"/>
      <w:contextualSpacing/>
    </w:pPr>
  </w:style>
  <w:style w:type="character" w:styleId="IntenseEmphasis">
    <w:name w:val="Intense Emphasis"/>
    <w:basedOn w:val="DefaultParagraphFont"/>
    <w:uiPriority w:val="21"/>
    <w:qFormat/>
    <w:rsid w:val="00FA2CF0"/>
    <w:rPr>
      <w:i/>
      <w:iCs/>
      <w:color w:val="0F4761" w:themeColor="accent1" w:themeShade="BF"/>
    </w:rPr>
  </w:style>
  <w:style w:type="paragraph" w:styleId="IntenseQuote">
    <w:name w:val="Intense Quote"/>
    <w:basedOn w:val="Normal"/>
    <w:next w:val="Normal"/>
    <w:link w:val="IntenseQuoteChar"/>
    <w:uiPriority w:val="30"/>
    <w:qFormat/>
    <w:rsid w:val="00FA2C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CF0"/>
    <w:rPr>
      <w:i/>
      <w:iCs/>
      <w:color w:val="0F4761" w:themeColor="accent1" w:themeShade="BF"/>
    </w:rPr>
  </w:style>
  <w:style w:type="character" w:styleId="IntenseReference">
    <w:name w:val="Intense Reference"/>
    <w:basedOn w:val="DefaultParagraphFont"/>
    <w:uiPriority w:val="32"/>
    <w:qFormat/>
    <w:rsid w:val="00FA2CF0"/>
    <w:rPr>
      <w:b/>
      <w:bCs/>
      <w:smallCaps/>
      <w:color w:val="0F4761" w:themeColor="accent1" w:themeShade="BF"/>
      <w:spacing w:val="5"/>
    </w:rPr>
  </w:style>
  <w:style w:type="paragraph" w:customStyle="1" w:styleId="Duz3">
    <w:name w:val="Duz_3"/>
    <w:basedOn w:val="Heading3"/>
    <w:link w:val="Duz3Char"/>
    <w:qFormat/>
    <w:rsid w:val="00AD6B90"/>
    <w:rPr>
      <w:rFonts w:ascii="Helvetica Neue" w:eastAsia="Calibri" w:hAnsi="Helvetica Neue"/>
      <w:b/>
      <w:bCs/>
      <w:color w:val="000000" w:themeColor="text1"/>
      <w:kern w:val="0"/>
      <w:lang w:val="en-US"/>
    </w:rPr>
  </w:style>
  <w:style w:type="character" w:customStyle="1" w:styleId="Duz3Char">
    <w:name w:val="Duz_3 Char"/>
    <w:basedOn w:val="Heading3Char"/>
    <w:link w:val="Duz3"/>
    <w:rsid w:val="00AD6B90"/>
    <w:rPr>
      <w:rFonts w:ascii="Helvetica Neue" w:eastAsia="Calibri" w:hAnsi="Helvetica Neue" w:cstheme="majorBidi"/>
      <w:b/>
      <w:bCs/>
      <w:color w:val="000000" w:themeColor="text1"/>
      <w:kern w:val="0"/>
      <w:sz w:val="28"/>
      <w:szCs w:val="28"/>
      <w:lang w:val="en-US"/>
    </w:rPr>
  </w:style>
  <w:style w:type="paragraph" w:customStyle="1" w:styleId="Duz4">
    <w:name w:val="Duz_4"/>
    <w:basedOn w:val="Heading4"/>
    <w:qFormat/>
    <w:rsid w:val="00AD6B90"/>
    <w:rPr>
      <w:rFonts w:ascii="Helvetica Neue" w:eastAsia="Calibri" w:hAnsi="Helvetica Neue"/>
      <w:b/>
      <w:bCs/>
      <w:color w:val="000000" w:themeColor="text1"/>
      <w:kern w:val="0"/>
      <w:lang w:val="en-US"/>
    </w:rPr>
  </w:style>
  <w:style w:type="paragraph" w:customStyle="1" w:styleId="Duz1">
    <w:name w:val="Duz_1"/>
    <w:basedOn w:val="Heading1"/>
    <w:qFormat/>
    <w:rsid w:val="00794E2E"/>
    <w:rPr>
      <w:rFonts w:ascii="Arial" w:hAnsi="Arial"/>
      <w:b/>
      <w:color w:val="000000" w:themeColor="text1"/>
    </w:rPr>
  </w:style>
  <w:style w:type="paragraph" w:customStyle="1" w:styleId="Duz2">
    <w:name w:val="Duz_2"/>
    <w:basedOn w:val="Normal"/>
    <w:qFormat/>
    <w:rsid w:val="00794E2E"/>
    <w:rPr>
      <w:rFonts w:ascii="Arial" w:hAnsi="Arial"/>
      <w:b/>
      <w:color w:val="000000" w:themeColor="text1"/>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7</Pages>
  <Words>1604</Words>
  <Characters>9148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10</cp:revision>
  <dcterms:created xsi:type="dcterms:W3CDTF">2026-04-06T20:24:00Z</dcterms:created>
  <dcterms:modified xsi:type="dcterms:W3CDTF">2026-04-11T21:12:00Z</dcterms:modified>
</cp:coreProperties>
</file>