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815E3" w14:textId="4676B37F" w:rsidR="0022097B" w:rsidRPr="003D0D39" w:rsidRDefault="0022097B" w:rsidP="008B0270">
      <w:pPr>
        <w:pStyle w:val="Duz1"/>
        <w:rPr>
          <w:rFonts w:ascii="Helvetica" w:hAnsi="Helvetica"/>
          <w:sz w:val="20"/>
          <w:szCs w:val="20"/>
        </w:rPr>
      </w:pPr>
      <w:r w:rsidRPr="003D0D39">
        <w:rPr>
          <w:rFonts w:ascii="Helvetica" w:hAnsi="Helvetica"/>
          <w:sz w:val="20"/>
          <w:szCs w:val="20"/>
        </w:rPr>
        <w:t>Abstract</w:t>
      </w:r>
    </w:p>
    <w:p w14:paraId="03369F83" w14:textId="4A5047B5" w:rsidR="00DF3A9E" w:rsidRPr="003D0D39" w:rsidRDefault="00AC176A" w:rsidP="00CE076A">
      <w:pPr>
        <w:pStyle w:val="BodyText"/>
        <w:spacing w:line="360" w:lineRule="auto"/>
        <w:jc w:val="both"/>
        <w:rPr>
          <w:rFonts w:ascii="Helvetica" w:hAnsi="Helvetica" w:cs="Arial"/>
          <w:sz w:val="20"/>
          <w:szCs w:val="20"/>
        </w:rPr>
      </w:pPr>
      <w:r w:rsidRPr="003D0D39">
        <w:rPr>
          <w:rFonts w:ascii="Helvetica" w:hAnsi="Helvetica" w:cs="Arial"/>
          <w:sz w:val="20"/>
          <w:szCs w:val="20"/>
        </w:rPr>
        <w:t xml:space="preserve">Schizophrenia (SZ) is characterized by marked deficits in social cognition, yet the computational and neural mechanisms underlying social reinforcement learning remain poorly understood. </w:t>
      </w:r>
      <w:r w:rsidR="00852447" w:rsidRPr="003D0D39">
        <w:rPr>
          <w:rFonts w:ascii="Helvetica" w:hAnsi="Helvetica" w:cs="Arial"/>
          <w:sz w:val="20"/>
          <w:szCs w:val="20"/>
        </w:rPr>
        <w:t>W</w:t>
      </w:r>
      <w:r w:rsidR="00301A3D" w:rsidRPr="003D0D39">
        <w:rPr>
          <w:rFonts w:ascii="Helvetica" w:hAnsi="Helvetica" w:cs="Arial"/>
          <w:sz w:val="20"/>
          <w:szCs w:val="20"/>
        </w:rPr>
        <w:t xml:space="preserve">e investigated dynamic social learning in patients with SZ (N = 29) and healthy controls (N = </w:t>
      </w:r>
      <w:r w:rsidR="007B5A16" w:rsidRPr="003D0D39">
        <w:rPr>
          <w:rFonts w:ascii="Helvetica" w:hAnsi="Helvetica" w:cs="Arial"/>
          <w:sz w:val="20"/>
          <w:szCs w:val="20"/>
        </w:rPr>
        <w:t>45</w:t>
      </w:r>
      <w:r w:rsidR="00301A3D" w:rsidRPr="003D0D39">
        <w:rPr>
          <w:rFonts w:ascii="Helvetica" w:hAnsi="Helvetica" w:cs="Arial"/>
          <w:sz w:val="20"/>
          <w:szCs w:val="20"/>
        </w:rPr>
        <w:t xml:space="preserve">) during an iterative Trust Game performed under functional magnetic resonance imaging (fMRI). </w:t>
      </w:r>
    </w:p>
    <w:p w14:paraId="44797A25" w14:textId="5F304CCC" w:rsidR="00DF3A9E" w:rsidRPr="003D0D39" w:rsidRDefault="00DF3A9E" w:rsidP="00CE076A">
      <w:pPr>
        <w:pStyle w:val="BodyText"/>
        <w:spacing w:line="360" w:lineRule="auto"/>
        <w:jc w:val="both"/>
        <w:rPr>
          <w:rFonts w:ascii="Helvetica" w:hAnsi="Helvetica" w:cs="Arial"/>
          <w:sz w:val="20"/>
          <w:szCs w:val="20"/>
        </w:rPr>
      </w:pPr>
      <w:r w:rsidRPr="003D0D39">
        <w:rPr>
          <w:rFonts w:ascii="Helvetica" w:hAnsi="Helvetica" w:cs="Arial"/>
          <w:sz w:val="20"/>
          <w:szCs w:val="20"/>
        </w:rPr>
        <w:t>Participant behavior was modeled using a Rescorla–Wagner framework to estimate learning rate (α) and decision precision (inverse temperature, β), alongside trial-by-trial prediction errors (PEs) for neural analyses. Behaviorally, patients exhibited a marked impairment in utilizing positive social feedback, reflected in reduced win–stay behavior, significantly lower learning rates, and diminished model fit. Critically, patient behavior was best explained by a null model, indicating a failure to consistently integrate feedback into decision-</w:t>
      </w:r>
      <w:r w:rsidR="000E77ED" w:rsidRPr="003D0D39">
        <w:rPr>
          <w:rFonts w:ascii="Helvetica" w:hAnsi="Helvetica" w:cs="Arial"/>
          <w:sz w:val="20"/>
          <w:szCs w:val="20"/>
        </w:rPr>
        <w:t>making. At</w:t>
      </w:r>
      <w:r w:rsidRPr="003D0D39">
        <w:rPr>
          <w:rFonts w:ascii="Helvetica" w:hAnsi="Helvetica" w:cs="Arial"/>
          <w:sz w:val="20"/>
          <w:szCs w:val="20"/>
        </w:rPr>
        <w:t xml:space="preserve"> the computational level, reduced decision precision (lower β) was significantly associated with positive symptom severity, suggesting a link between stochastic choice behavior and psychosis.</w:t>
      </w:r>
      <w:r w:rsidR="00523A33" w:rsidRPr="003D0D39">
        <w:rPr>
          <w:rFonts w:ascii="Helvetica" w:hAnsi="Helvetica" w:cs="Arial"/>
          <w:sz w:val="20"/>
          <w:szCs w:val="20"/>
        </w:rPr>
        <w:t xml:space="preserve"> Neu</w:t>
      </w:r>
      <w:r w:rsidR="00CE076A" w:rsidRPr="003D0D39">
        <w:rPr>
          <w:rFonts w:ascii="Helvetica" w:hAnsi="Helvetica" w:cs="Arial"/>
          <w:sz w:val="20"/>
          <w:szCs w:val="20"/>
        </w:rPr>
        <w:t>ronally</w:t>
      </w:r>
      <w:r w:rsidRPr="003D0D39">
        <w:rPr>
          <w:rFonts w:ascii="Helvetica" w:hAnsi="Helvetica" w:cs="Arial"/>
          <w:sz w:val="20"/>
          <w:szCs w:val="20"/>
        </w:rPr>
        <w:t>, while healthy controls showed robust PE-related activation in canonical reward and visual processing regions, patients exhibited significantly attenuated PE signaling, particularly within the left lateral occipital cortex and fusiform gyrus.</w:t>
      </w:r>
    </w:p>
    <w:p w14:paraId="594B025D" w14:textId="2A971115" w:rsidR="00DF3A9E" w:rsidRPr="003D0D39" w:rsidRDefault="00DF3A9E" w:rsidP="00CE076A">
      <w:pPr>
        <w:pStyle w:val="BodyText"/>
        <w:spacing w:line="360" w:lineRule="auto"/>
        <w:jc w:val="both"/>
        <w:rPr>
          <w:rFonts w:ascii="Helvetica" w:hAnsi="Helvetica" w:cs="Arial"/>
          <w:sz w:val="20"/>
          <w:szCs w:val="20"/>
        </w:rPr>
      </w:pPr>
      <w:r w:rsidRPr="003D0D39">
        <w:rPr>
          <w:rFonts w:ascii="Helvetica" w:hAnsi="Helvetica" w:cs="Arial"/>
          <w:sz w:val="20"/>
          <w:szCs w:val="20"/>
        </w:rPr>
        <w:t>These findings indicate a fundamental disruption in precision-weighted social belief updating in schizophrenia, characterized by stochastic decision-making and degraded neural encoding of prediction errors. This supports predictive coding accounts of psychosis, in which impaired precision assignment to sensory feedback undermines adaptive learning and contributes to positive symptoms.</w:t>
      </w:r>
    </w:p>
    <w:p w14:paraId="087F95A2" w14:textId="5B47FC70" w:rsidR="00F3305F" w:rsidRPr="003D0D39" w:rsidRDefault="00F3305F" w:rsidP="00DF3A9E">
      <w:pPr>
        <w:pStyle w:val="BodyText"/>
        <w:spacing w:line="276" w:lineRule="auto"/>
        <w:jc w:val="both"/>
        <w:rPr>
          <w:rFonts w:ascii="Helvetica" w:hAnsi="Helvetica"/>
          <w:sz w:val="20"/>
          <w:szCs w:val="20"/>
        </w:rPr>
      </w:pPr>
      <w:r w:rsidRPr="003D0D39">
        <w:rPr>
          <w:rFonts w:ascii="Helvetica" w:hAnsi="Helvetica" w:cs="Arial"/>
          <w:b/>
          <w:bCs/>
          <w:sz w:val="20"/>
          <w:szCs w:val="20"/>
        </w:rPr>
        <w:t>Keywords:</w:t>
      </w:r>
      <w:r w:rsidRPr="003D0D39">
        <w:rPr>
          <w:rFonts w:ascii="Helvetica" w:hAnsi="Helvetica" w:cs="Arial"/>
          <w:sz w:val="20"/>
          <w:szCs w:val="20"/>
        </w:rPr>
        <w:t xml:space="preserve"> Schizophrenia, Social Dysfunction, Trust Game, Reinforcement Learning </w:t>
      </w:r>
    </w:p>
    <w:p w14:paraId="6B53D1B8" w14:textId="77777777" w:rsidR="009433E2" w:rsidRDefault="009433E2" w:rsidP="00244717">
      <w:pPr>
        <w:pStyle w:val="BodyText"/>
        <w:rPr>
          <w:rFonts w:ascii="Helvetica Neue" w:hAnsi="Helvetica Neue" w:cs="Arial"/>
          <w:sz w:val="22"/>
          <w:szCs w:val="22"/>
        </w:rPr>
      </w:pPr>
    </w:p>
    <w:p w14:paraId="783A225B" w14:textId="77777777" w:rsidR="008B0270" w:rsidRDefault="008B0270" w:rsidP="00244717">
      <w:pPr>
        <w:pStyle w:val="BodyText"/>
        <w:rPr>
          <w:rFonts w:ascii="Helvetica Neue" w:hAnsi="Helvetica Neue" w:cs="Arial"/>
          <w:sz w:val="22"/>
          <w:szCs w:val="22"/>
        </w:rPr>
      </w:pPr>
    </w:p>
    <w:p w14:paraId="1650298A" w14:textId="77777777" w:rsidR="008B0270" w:rsidRDefault="008B0270" w:rsidP="00244717">
      <w:pPr>
        <w:pStyle w:val="BodyText"/>
        <w:rPr>
          <w:rFonts w:ascii="Helvetica Neue" w:hAnsi="Helvetica Neue" w:cs="Arial"/>
          <w:sz w:val="22"/>
          <w:szCs w:val="22"/>
        </w:rPr>
      </w:pPr>
    </w:p>
    <w:p w14:paraId="392C8ED0" w14:textId="77777777" w:rsidR="008B0270" w:rsidRDefault="008B0270" w:rsidP="00244717">
      <w:pPr>
        <w:pStyle w:val="BodyText"/>
        <w:rPr>
          <w:rFonts w:ascii="Helvetica Neue" w:hAnsi="Helvetica Neue" w:cs="Arial"/>
          <w:sz w:val="22"/>
          <w:szCs w:val="22"/>
        </w:rPr>
      </w:pPr>
    </w:p>
    <w:p w14:paraId="3CC67A4F" w14:textId="77777777" w:rsidR="008B0270" w:rsidRDefault="008B0270" w:rsidP="00244717">
      <w:pPr>
        <w:pStyle w:val="BodyText"/>
        <w:rPr>
          <w:rFonts w:ascii="Helvetica Neue" w:hAnsi="Helvetica Neue" w:cs="Arial"/>
          <w:sz w:val="22"/>
          <w:szCs w:val="22"/>
        </w:rPr>
      </w:pPr>
    </w:p>
    <w:p w14:paraId="601EDC76" w14:textId="77777777" w:rsidR="008B0270" w:rsidRDefault="008B0270" w:rsidP="00244717">
      <w:pPr>
        <w:pStyle w:val="BodyText"/>
        <w:rPr>
          <w:rFonts w:ascii="Helvetica Neue" w:hAnsi="Helvetica Neue" w:cs="Arial"/>
          <w:sz w:val="22"/>
          <w:szCs w:val="22"/>
        </w:rPr>
      </w:pPr>
    </w:p>
    <w:p w14:paraId="668E21F4" w14:textId="77777777" w:rsidR="008B0270" w:rsidRDefault="008B0270" w:rsidP="00244717">
      <w:pPr>
        <w:pStyle w:val="BodyText"/>
        <w:rPr>
          <w:rFonts w:ascii="Helvetica Neue" w:hAnsi="Helvetica Neue" w:cs="Arial"/>
          <w:sz w:val="22"/>
          <w:szCs w:val="22"/>
        </w:rPr>
      </w:pPr>
    </w:p>
    <w:p w14:paraId="18B726B1" w14:textId="77777777" w:rsidR="003D0D39" w:rsidRDefault="003D0D39" w:rsidP="00244717">
      <w:pPr>
        <w:pStyle w:val="BodyText"/>
        <w:rPr>
          <w:rFonts w:ascii="Helvetica Neue" w:hAnsi="Helvetica Neue" w:cs="Arial"/>
          <w:sz w:val="22"/>
          <w:szCs w:val="22"/>
        </w:rPr>
      </w:pPr>
    </w:p>
    <w:p w14:paraId="661C9BD6" w14:textId="77777777" w:rsidR="008B0270" w:rsidRPr="0041453B" w:rsidRDefault="008B0270" w:rsidP="00244717">
      <w:pPr>
        <w:pStyle w:val="BodyText"/>
        <w:rPr>
          <w:rFonts w:ascii="Helvetica Neue" w:hAnsi="Helvetica Neue" w:cs="Arial"/>
          <w:sz w:val="22"/>
          <w:szCs w:val="22"/>
        </w:rPr>
      </w:pPr>
    </w:p>
    <w:p w14:paraId="1438986B" w14:textId="4711E6AC" w:rsidR="009433E2" w:rsidRPr="008B0270" w:rsidRDefault="009433E2" w:rsidP="009D1BC4">
      <w:pPr>
        <w:pStyle w:val="Duz1"/>
        <w:numPr>
          <w:ilvl w:val="0"/>
          <w:numId w:val="3"/>
        </w:numPr>
        <w:spacing w:line="276" w:lineRule="auto"/>
        <w:jc w:val="both"/>
        <w:rPr>
          <w:rFonts w:ascii="Helvetica" w:hAnsi="Helvetica"/>
          <w:sz w:val="20"/>
          <w:szCs w:val="20"/>
        </w:rPr>
      </w:pPr>
      <w:r w:rsidRPr="008B0270">
        <w:rPr>
          <w:rFonts w:ascii="Helvetica" w:hAnsi="Helvetica"/>
          <w:sz w:val="20"/>
          <w:szCs w:val="20"/>
        </w:rPr>
        <w:lastRenderedPageBreak/>
        <w:t>Introduction</w:t>
      </w:r>
    </w:p>
    <w:p w14:paraId="561FBE5F" w14:textId="346FE083" w:rsidR="00725AA5" w:rsidRPr="00725AA5" w:rsidRDefault="00725AA5" w:rsidP="003D0D39">
      <w:pPr>
        <w:pStyle w:val="BodyText"/>
        <w:spacing w:line="276" w:lineRule="auto"/>
        <w:jc w:val="both"/>
        <w:rPr>
          <w:rFonts w:ascii="Helvetica" w:hAnsi="Helvetica" w:cs="Arial"/>
          <w:sz w:val="20"/>
          <w:szCs w:val="20"/>
        </w:rPr>
      </w:pPr>
      <w:r w:rsidRPr="00725AA5">
        <w:rPr>
          <w:rFonts w:ascii="Helvetica" w:hAnsi="Helvetica" w:cs="Arial"/>
          <w:sz w:val="20"/>
          <w:szCs w:val="20"/>
        </w:rPr>
        <w:t>Social cognitive dysfunction, particularly impairments in emotion recognition and interpersonal reciprocity, is a core feature of schizophrenia (SZ) that critically contributes to social isolation, relapse risk, and reduced functional outcomes</w:t>
      </w:r>
      <w:r w:rsidR="003577D9">
        <w:rPr>
          <w:rFonts w:ascii="Helvetica" w:hAnsi="Helvetica" w:cs="Arial"/>
          <w:sz w:val="20"/>
          <w:szCs w:val="20"/>
        </w:rPr>
        <w:fldChar w:fldCharType="begin"/>
      </w:r>
      <w:r w:rsidR="003577D9">
        <w:rPr>
          <w:rFonts w:ascii="Helvetica" w:hAnsi="Helvetica" w:cs="Arial"/>
          <w:sz w:val="20"/>
          <w:szCs w:val="20"/>
        </w:rPr>
        <w:instrText xml:space="preserve"> ADDIN ZOTERO_ITEM CSL_CITATION {"citationID":"oG9Cm2eH","properties":{"formattedCitation":"(1\\uc0\\u8211{}7)","plainCitation":"(1–7)","noteIndex":0},"citationItems":[{"id":4440,"uris":["http://zotero.org/users/9264269/items/TJF6LHYM"],"itemData":{"id":4440,"type":"article-journal","abstract":"Major depressive disorder (MDD) represents a grand challenge to human health and society, but the underlying pathophysiological mechanisms remain elusive. Previous neuroimaging studies have suggested that MDD is associated with abnormal interactions and dynamics in two major neural systems including the default mode - salience (DMN-SAL) network and the executive - limbic (EXE-LIM) network, but it is not clear which network plays a central role and which network plays a subordinate role in MDD pathophysiology. To address this question, we refined a newly developed Multiscale Neural Model Inversion (MNMI) framework and applied it to test whether MDD is more affected by impaired circuit interactions in the DMN-SAL network or the EXE-LIM network. The model estimates the directed connection strengths between different neural populations both within and between brain regions based on resting-state fMRI data collected from normal healthy subjects and patients with MDD. Results show that MDD is primarily characterized by abnormal circuit interactions in the EXE-LIM network rather than the DMN-SAL network. Specifically, we observe reduced frontoparietal effective connectivity that potentially contributes to hypoactivity in the dorsolateral prefrontal cortex (dlPFC), and decreased intrinsic inhibition combined with increased excitation from the superior parietal cortex (SPC) that potentially lead to amygdala hyperactivity, together resulting in activation imbalance in the PFC-amygdala circuit that pervades in MDD. Moreover, the model reveals reduced PFC-to-hippocampus excitation but decreased SPC-to-thalamus inhibition in MDD population that potentially lead to hypoactivity in the hippocampus and hyperactivity in the thalamus, consistent with previous experimental data. Overall, our findings provide strong support for the long-standing limbic-cortical dysregulation model in major depression but also offer novel insights into the multiscale pathophysiology of this debilitating disease.","container-title":"NeuroImage. Clinical","DOI":"10.1016/j.nicl.2021.102758","ISSN":"2213-1582","journalAbbreviation":"Neuroimage Clin","language":"eng","page":"102758","PMID":"34284335","PMCID":"PMC8313604","source":"PubMed","title":"Multiscale neural modeling of resting-state fMRI reveals executive-limbic malfunction as a core mechanism in major depressive disorder","volume":"31","author":[{"family":"Li","given":"Guoshi"},{"family":"Liu","given":"Yujie"},{"family":"Zheng","given":"Yanting"},{"family":"Wu","given":"Ye"},{"family":"Li","given":"Danian"},{"family":"Liang","given":"Xinyu"},{"family":"Chen","given":"Yaoping"},{"family":"Cui","given":"Ying"},{"family":"Yap","given":"Pew-Thian"},{"family":"Qiu","given":"Shijun"},{"family":"Zhang","given":"Han"},{"family":"Shen","given":"Dinggang"}],"issued":{"date-parts":[["2021"]]}}},{"id":4746,"uris":["http://zotero.org/users/9264269/items/ZFKLPADL"],"itemData":{"id":4746,"type":"article-journal","container-title":"JAMA Psychiatry","DOI":"10.1001/jamapsychiatry.2017.2228","ISSN":"2168-622X","issue":"9","journalAbbreviation":"JAMA Psychiatry","language":"en","note":"number: 9","page":"958","source":"DOI.org (Crossref)","title":"Association of White Matter With Core Cognitive Deficits in Patients With Schizophrenia","volume":"74","author":[{"family":"Kochunov","given":"Peter"},{"family":"Coyle","given":"Thomas R."},{"family":"Rowland","given":"Laura M."},{"family":"Jahanshad","given":"Neda"},{"family":"Thompson","given":"Paul M."},{"family":"Kelly","given":"Sinead"},{"family":"Du","given":"Xiaoming"},{"family":"Sampath","given":"Hemalatha"},{"family":"Bruce","given":"Heather"},{"family":"Chiappelli","given":"Joshua"},{"family":"Ryan","given":"Meghann"},{"family":"Fisseha","given":"Feven"},{"family":"Savransky","given":"Anya"},{"family":"Adhikari","given":"Bhim"},{"family":"Chen","given":"Shuo"},{"family":"Paciga","given":"Sara A."},{"family":"Whelan","given":"Christopher D."},{"family":"Xie","given":"Zhiyong"},{"family":"Hyde","given":"Craig L."},{"family":"Chen","given":"Xing"},{"family":"Schubert","given":"Christian R."},{"family":"O’Donnell","given":"Patricio"},{"family":"Hong","given":"L. Elliot"}],"issued":{"date-parts":[["2017",9,1]]}}},{"id":4741,"uris":["http://zotero.org/users/9264269/items/NTVEJGXE"],"itemData":{"id":4741,"type":"article-journal","container-title":"Quality of Life Research","DOI":"10.1007/s11136-015-1019-2","ISSN":"0962-9343, 1573-2649","issue":"11","journalAbbreviation":"Qual Life Res","language":"en","note":"number: 11","page":"2753-2760","source":"DOI.org (Crossref)","title":"Subjective perceptions of cognitive deficits and their influences on quality of life among patients with schizophrenia","volume":"24","author":[{"family":"Caqueo-Urízar","given":"Alejandra"},{"family":"Boyer","given":"Laurent"},{"family":"Baumstarck","given":"Karine"},{"family":"Gilman","given":"Stephen E."}],"issued":{"date-parts":[["2015",11]]}}},{"id":4750,"uris":["http://zotero.org/users/9264269/items/AL2JHC8H"],"itemData":{"id":4750,"type":"article-journal","container-title":"Neuropsychopharmacology","DOI":"10.1038/npp.2010.156","ISSN":"0893-133X, 1740-634X","issue":"1","journalAbbreviation":"Neuropsychopharmacol","language":"en","license":"http://www.springer.com/tdm","note":"number: 1","page":"316-338","source":"DOI.org (Crossref)","title":"Cognitive Control Deficits in Schizophrenia: Mechanisms and Meaning","title-short":"Cognitive Control Deficits in Schizophrenia","volume":"36","author":[{"family":"Lesh","given":"Tyler A"},{"family":"Niendam","given":"Tara A"},{"family":"Minzenberg","given":"Michael J"},{"family":"Carter","given":"Cameron S"}],"issued":{"date-parts":[["2011",1]]}}},{"id":4764,"uris":["http://zotero.org/users/9264269/items/7USENFRU"],"itemData":{"id":4764,"type":"article-journal","container-title":"Clinical Psychopharmacology and Neuroscience","DOI":"10.9758/cpn.2018.16.1.7","ISSN":"1738-1088, 2093-4327","issue":"1","journalAbbreviation":"Clin Psychopharmacol Neurosci","language":"en","note":"number: 1","page":"7-17","source":"DOI.org (Crossref)","title":"Cognitive Deficits in Schizophrenia: Understanding the Biological Correlates and Remediation Strategies","title-short":"Cognitive Deficits in Schizophrenia","volume":"16","author":[{"family":"Tripathi","given":"Adarsh"},{"family":"Kar","given":"Sujita Kumar"},{"family":"Shukla","given":"Rashmi"}],"issued":{"date-parts":[["2018",2,28]]}}},{"id":4890,"uris":["http://zotero.org/users/9264269/items/KZGVQ46F"],"itemData":{"id":4890,"type":"article-journal","container-title":"Schizophrenia Research","DOI":"10.1016/j.schres.2005.03.001","ISSN":"0920-9964","issue":"2-3","language":"en","license":"https://www.elsevier.com/tdm/userlicense/1.0/","page":"343-353","publisher":"Elsevier BV","source":"Crossref","title":"Cognitive predictors of psychosocial functioning outcome in schizophrenia: A follow-up study of subjects participating in a rehabilitation program","title-short":"Cognitive predictors of psychosocial functioning outcome in schizophrenia","volume":"77","author":[{"family":"Prouteau","given":"Antoinette"},{"family":"Verdoux","given":"Hélène"},{"family":"Briand","given":"Catherine"},{"family":"Lesage","given":"Alain"},{"family":"Lalonde","given":"Pierre"},{"family":"Nicole","given":"Luc"},{"family":"Reinharz","given":"Daniel"},{"family":"Stip","given":"Emmanuel"}],"issued":{"date-parts":[["2005",9]]}}},{"id":4737,"uris":["http://zotero.org/users/9264269/items/IBGXY36U"],"itemData":{"id":4737,"type":"article-journal","container-title":"Journal of Affective Disorders","DOI":"10.1016/j.jad.2019.05.063","ISSN":"01650327","journalAbbreviation":"Journal of Affective Disorders","language":"en","page":"164-175","source":"DOI.org (Crossref)","title":"Effects of depression and cognitive impairment on quality of life in older adults with schizophrenia spectrum disorder: Results from a multicenter study","title-short":"Effects of depression and cognitive impairment on quality of life in older adults with schizophrenia spectrum disorder","volume":"256","author":[{"family":"Pascal De Raykeer","given":"Rachel"},{"family":"Hoertel","given":"Nicolas"},{"family":"Blanco","given":"Carlos"},{"family":"Lavaud","given":"Pierre"},{"family":"Kaladjian","given":"Arthur"},{"family":"Blumenstock","given":"Yvonne"},{"family":"Cuervo-Lombard","given":"Christine-Vanessa"},{"family":"Peyre","given":"Hugo"},{"family":"Lemogne","given":"Cédric"},{"family":"Limosin","given":"Frédéric"},{"family":"Adès","given":"J."},{"family":"Alezrah","given":"C."},{"family":"Amado","given":"I."},{"family":"Amar","given":"G."},{"family":"Andréi","given":"O."},{"family":"Arbault","given":"D."},{"family":"Archambault","given":"G."},{"family":"Aurifeuille","given":"G."},{"family":"Barrière","given":"S."},{"family":"Béra-Potelle","given":"C."},{"family":"Blumenstock","given":"Y."},{"family":"Bardou","given":"H."},{"family":"Bareil-Guérin","given":"M."},{"family":"Barrau","given":"P."},{"family":"Barrouillet","given":"C."},{"family":"Baup","given":"E."},{"family":"Bazin","given":"N."},{"family":"Beaufils","given":"B."},{"family":"Ben Ayed","given":"J."},{"family":"Benoit","given":"M."},{"family":"Benyacoub","given":"K."},{"family":"Bichet","given":"T."},{"family":"Blanadet","given":"F."},{"family":"Blanc","given":"O."},{"family":"Blanc-Comiti","given":"J."},{"family":"Boussiron","given":"D."},{"family":"Bouysse","given":"A.M."},{"family":"Brochard","given":"A."},{"family":"Brochart","given":"O."},{"family":"Bucheron","given":"B."},{"family":"Cabot","given":"M."},{"family":"Camus","given":"V."},{"family":"Chabannes","given":"J.M."},{"family":"Charlot","given":"V."},{"family":"Charpeaud","given":"T."},{"family":"Clad-Mor","given":"C."},{"family":"Combes","given":"C."},{"family":"Comisu","given":"M."},{"family":"Cordier","given":"B."},{"family":"Costi","given":"F."},{"family":"Courcelles","given":"J.P."},{"family":"Creixell","given":"M."},{"family":"Cuche","given":"H."},{"family":"Cuervo-Lombard","given":"C."},{"family":"Dammak","given":"A."},{"family":"Da Rin","given":"D."},{"family":"Denis","given":"J.B."},{"family":"Denizot","given":"H."},{"family":"Deperthuis","given":"A."},{"family":"Diers","given":"E."},{"family":"Dirami","given":"S."},{"family":"Donneau","given":"D."},{"family":"Dreano","given":"P."},{"family":"Dubertret","given":"C."},{"family":"Duprat","given":"E."},{"family":"Duthoit","given":"D."},{"family":"Fernandez","given":"C."},{"family":"Fonfrede","given":"P."},{"family":"Freitas","given":"N."},{"family":"Gasnier","given":"P."},{"family":"Gauillard","given":"J."},{"family":"Getten","given":"F."},{"family":"Gierski","given":"F."},{"family":"Godart","given":"F."},{"family":"Gourevitch","given":"R."},{"family":"Grassin Delyle","given":"A."},{"family":"Gremion","given":"J."},{"family":"Gres","given":"H."},{"family":"Griner","given":"V."},{"family":"Guerin-Langlois","given":"C."},{"family":"Guggiari","given":"C."},{"family":"Guillin","given":"O."},{"family":"Hadaoui","given":"H."},{"family":"Haffen","given":"E."},{"family":"Hanon","given":"C."},{"family":"Haouzir","given":"S."},{"family":"Hazif-Thomas","given":"C."},{"family":"Heron","given":"A."},{"family":"Hoertel","given":"N."},{"family":"Hubsch","given":"B."},{"family":"Jalenques","given":"I."},{"family":"Januel","given":"D."},{"family":"Kaladjian","given":"A."},{"family":"Karnycheff","given":"J.F."},{"family":"Kebir","given":"O."},{"family":"Krebs","given":"M.O."},{"family":"Lajugie","given":"C."},{"family":"Leboyer","given":"M."},{"family":"Legrand","given":"P."},{"family":"Lejoyeux","given":"M."},{"family":"Lemaire","given":"V."},{"family":"Leroy","given":"E."},{"family":"Levy-Chavagnat","given":"D."},{"family":"Leydier","given":"A."},{"family":"Liling","given":"C."},{"family":"Limosin","given":"F."},{"family":"Llorca","given":"P.M."},{"family":"Loeffel","given":"P."},{"family":"Louville","given":"P."},{"family":"Lucas Navarro","given":"S."},{"family":"Mages","given":"N."},{"family":"Mahi","given":"M."},{"family":"Maillet","given":"O."},{"family":"Manetti","given":"A."},{"family":"Martelli","given":"C."},{"family":"Martin","given":"P."},{"family":"Masson","given":"M."},{"family":"Maurs-Ferrer","given":"I."},{"family":"Mauvieux","given":"J."},{"family":"Mazmanian","given":"S."},{"family":"Mechin","given":"E."},{"family":"Mekaoui","given":"L."},{"family":"Meniai","given":"M."},{"family":"Metton","given":"A."},{"family":"Mihoubi","given":"A."},{"family":"Miron","given":"M."},{"family":"Mora","given":"G."},{"family":"Niro Adès","given":"V."},{"family":"Nubukpo","given":"P."},{"family":"Omnes","given":"C."},{"family":"Papin","given":"S."},{"family":"Paris","given":"P."},{"family":"Passerieux","given":"C."},{"family":"Pellerin","given":"J."},{"family":"Perlbarg","given":"J."},{"family":"Perron","given":"S."},{"family":"Petit","given":"A."},{"family":"Petitjean","given":"F."},{"family":"Portefaix","given":"C."},{"family":"Pringuey","given":"D."},{"family":"Radtchenko","given":"A."},{"family":"Rahiou","given":"H."},{"family":"Raucher-Chéné","given":"D."},{"family":"Rauzy","given":"A."},{"family":"Reinheimer","given":"L."},{"family":"Renard","given":"M."},{"family":"René","given":"M."},{"family":"Rengade","given":"C.E."},{"family":"Reynaud","given":"P."},{"family":"Robin","given":"D."},{"family":"Rodrigues","given":"C."},{"family":"Rollet","given":"A."},{"family":"Rondepierre","given":"F."},{"family":"Rousselot","given":"B."},{"family":"Rubingher","given":"S."},{"family":"Saba","given":"G."},{"family":"Salvarelli","given":"J.P."},{"family":"Samuelian","given":"J.C."},{"family":"Scemama-Ammar","given":"C."},{"family":"Schurhoff","given":"F."},{"family":"Schuster","given":"J.P."},{"family":"Sechter","given":"D."},{"family":"Segalas","given":"B."},{"family":"Seguret","given":"T."},{"family":"Seigneurie","given":"A.S."},{"family":"Semmak","given":"A."},{"family":"Slama","given":"F."},{"family":"Taisne","given":"S."},{"family":"Taleb","given":"M."},{"family":"Terra","given":"J.L."},{"family":"Thefenne","given":"D."},{"family":"Tran","given":"E."},{"family":"Tourtauchaux","given":"R."},{"family":"Vacheron","given":"M.N."},{"family":"Vandel","given":"P."},{"family":"Vanhoucke","given":"V."},{"family":"Venet","given":"E."},{"family":"Verdoux","given":"H."},{"family":"Viala","given":"A."},{"family":"Vidon","given":"G."},{"family":"Vitre","given":"M."},{"family":"Vurpas","given":"J.L."},{"family":"Wagermez","given":"C."},{"family":"Walter","given":"M."},{"family":"Yon","given":"L."},{"family":"Zendjidjian","given":"X."}],"issued":{"date-parts":[["2019",9]]}}}],"schema":"https://github.com/citation-style-language/schema/raw/master/csl-citation.json"} </w:instrText>
      </w:r>
      <w:r w:rsidR="003577D9">
        <w:rPr>
          <w:rFonts w:ascii="Helvetica" w:hAnsi="Helvetica" w:cs="Arial"/>
          <w:sz w:val="20"/>
          <w:szCs w:val="20"/>
        </w:rPr>
        <w:fldChar w:fldCharType="separate"/>
      </w:r>
      <w:r w:rsidR="003577D9" w:rsidRPr="003577D9">
        <w:rPr>
          <w:rFonts w:ascii="Helvetica" w:hAnsi="Helvetica" w:cs="Times New Roman"/>
          <w:sz w:val="20"/>
        </w:rPr>
        <w:t>(1–7)</w:t>
      </w:r>
      <w:r w:rsidR="003577D9">
        <w:rPr>
          <w:rFonts w:ascii="Helvetica" w:hAnsi="Helvetica" w:cs="Arial"/>
          <w:sz w:val="20"/>
          <w:szCs w:val="20"/>
        </w:rPr>
        <w:fldChar w:fldCharType="end"/>
      </w:r>
      <w:r w:rsidRPr="00725AA5">
        <w:rPr>
          <w:rFonts w:ascii="Helvetica" w:hAnsi="Helvetica" w:cs="Arial"/>
          <w:sz w:val="20"/>
          <w:szCs w:val="20"/>
        </w:rPr>
        <w:t>. These deficits reflect a fundamental disturbance in how individuals learn from and adapt to dynamic social environments, where successful interaction depends on continuously updating expectations about others based on feedback</w:t>
      </w:r>
      <w:r w:rsidR="004210C1">
        <w:rPr>
          <w:rFonts w:ascii="Helvetica" w:hAnsi="Helvetica" w:cs="Arial"/>
          <w:sz w:val="20"/>
          <w:szCs w:val="20"/>
        </w:rPr>
        <w:t xml:space="preserve"> </w:t>
      </w:r>
      <w:r w:rsidR="004210C1" w:rsidRPr="009D1BC4">
        <w:rPr>
          <w:rFonts w:ascii="Helvetica" w:hAnsi="Helvetica" w:cs="Arial"/>
          <w:sz w:val="20"/>
          <w:szCs w:val="20"/>
        </w:rPr>
        <w:fldChar w:fldCharType="begin"/>
      </w:r>
      <w:r w:rsidR="003577D9">
        <w:rPr>
          <w:rFonts w:ascii="Helvetica" w:hAnsi="Helvetica" w:cs="Arial"/>
          <w:sz w:val="20"/>
          <w:szCs w:val="20"/>
        </w:rPr>
        <w:instrText xml:space="preserve"> ADDIN ZOTERO_ITEM CSL_CITATION {"citationID":"Mdwvsfh8","properties":{"formattedCitation":"(8,9)","plainCitation":"(8,9)","noteIndex":0},"citationItems":[{"id":4893,"uris":["http://zotero.org/users/9264269/items/M4I59CLX"],"itemData":{"id":4893,"type":"article-journal","container-title":"Schizophrenia Bulletin","DOI":"10.1093/schbul/sbn045","ISSN":"0586-7614, 1745-1701","issue":"4","language":"en","page":"670-672","publisher":"Oxford University Press (OUP)","source":"Crossref","title":"Social Cognition in Schizophrenia","volume":"34","author":[{"family":"Green","given":"M. F."},{"family":"Leitman","given":"D. I."}],"issued":{"date-parts":[["2007",11,21]]}}},{"id":4889,"uris":["http://zotero.org/users/9264269/items/RBUFUNRJ"],"itemData":{"id":4889,"type":"article-journal","container-title":"Games and Economic Behavior","DOI":"10.1006/game.1995.1027","ISSN":"0899-8256","issue":"1","language":"en","license":"https://www.elsevier.com/tdm/userlicense/1.0/","page":"122-142","publisher":"Elsevier BV","source":"Crossref","title":"Trust, Reciprocity, and Social History","volume":"10","author":[{"family":"Berg","given":"Joyce"},{"family":"Dickhaut","given":"John"},{"family":"McCabe","given":"Kevin"}],"issued":{"date-parts":[["1995",7]]}}}],"schema":"https://github.com/citation-style-language/schema/raw/master/csl-citation.json"} </w:instrText>
      </w:r>
      <w:r w:rsidR="004210C1" w:rsidRPr="009D1BC4">
        <w:rPr>
          <w:rFonts w:ascii="Helvetica" w:hAnsi="Helvetica" w:cs="Arial"/>
          <w:sz w:val="20"/>
          <w:szCs w:val="20"/>
        </w:rPr>
        <w:fldChar w:fldCharType="separate"/>
      </w:r>
      <w:r w:rsidR="004210C1" w:rsidRPr="009D1BC4">
        <w:rPr>
          <w:rFonts w:ascii="Helvetica" w:hAnsi="Helvetica" w:cs="Arial"/>
          <w:noProof/>
          <w:sz w:val="20"/>
          <w:szCs w:val="20"/>
        </w:rPr>
        <w:t>(8,9)</w:t>
      </w:r>
      <w:r w:rsidR="004210C1" w:rsidRPr="009D1BC4">
        <w:rPr>
          <w:rFonts w:ascii="Helvetica" w:hAnsi="Helvetica" w:cs="Arial"/>
          <w:sz w:val="20"/>
          <w:szCs w:val="20"/>
        </w:rPr>
        <w:fldChar w:fldCharType="end"/>
      </w:r>
      <w:r w:rsidRPr="00725AA5">
        <w:rPr>
          <w:rFonts w:ascii="Helvetica" w:hAnsi="Helvetica" w:cs="Arial"/>
          <w:sz w:val="20"/>
          <w:szCs w:val="20"/>
        </w:rPr>
        <w:t>.</w:t>
      </w:r>
    </w:p>
    <w:p w14:paraId="1AD72A71" w14:textId="18183A23" w:rsidR="00725AA5" w:rsidRPr="00725AA5" w:rsidRDefault="00725AA5" w:rsidP="003D0D39">
      <w:pPr>
        <w:pStyle w:val="BodyText"/>
        <w:spacing w:line="276" w:lineRule="auto"/>
        <w:jc w:val="both"/>
        <w:rPr>
          <w:rFonts w:ascii="Helvetica" w:hAnsi="Helvetica" w:cs="Arial"/>
          <w:sz w:val="20"/>
          <w:szCs w:val="20"/>
        </w:rPr>
      </w:pPr>
      <w:r w:rsidRPr="00725AA5">
        <w:rPr>
          <w:rFonts w:ascii="Helvetica" w:hAnsi="Helvetica" w:cs="Arial"/>
          <w:sz w:val="20"/>
          <w:szCs w:val="20"/>
        </w:rPr>
        <w:t>To navigate such environments, the brain must compute prediction errors (PEs)</w:t>
      </w:r>
      <w:r w:rsidR="004210C1">
        <w:rPr>
          <w:rFonts w:ascii="Helvetica" w:hAnsi="Helvetica" w:cs="Arial"/>
          <w:sz w:val="20"/>
          <w:szCs w:val="20"/>
        </w:rPr>
        <w:t xml:space="preserve">, </w:t>
      </w:r>
      <w:r w:rsidRPr="00725AA5">
        <w:rPr>
          <w:rFonts w:ascii="Helvetica" w:hAnsi="Helvetica" w:cs="Arial"/>
          <w:sz w:val="20"/>
          <w:szCs w:val="20"/>
        </w:rPr>
        <w:t>the discrepancy between expected and observed outcomes</w:t>
      </w:r>
      <w:r w:rsidR="004210C1">
        <w:rPr>
          <w:rFonts w:ascii="Helvetica" w:hAnsi="Helvetica" w:cs="Arial"/>
          <w:sz w:val="20"/>
          <w:szCs w:val="20"/>
        </w:rPr>
        <w:t xml:space="preserve">, </w:t>
      </w:r>
      <w:r w:rsidRPr="00725AA5">
        <w:rPr>
          <w:rFonts w:ascii="Helvetica" w:hAnsi="Helvetica" w:cs="Arial"/>
          <w:sz w:val="20"/>
          <w:szCs w:val="20"/>
        </w:rPr>
        <w:t>which serve as the core signals for updating internal models</w:t>
      </w:r>
      <w:r w:rsidR="00350816">
        <w:rPr>
          <w:rFonts w:ascii="Helvetica" w:hAnsi="Helvetica" w:cs="Arial"/>
          <w:sz w:val="20"/>
          <w:szCs w:val="20"/>
        </w:rPr>
        <w:t xml:space="preserve"> </w:t>
      </w:r>
      <w:r w:rsidR="00350816" w:rsidRPr="00870FEC">
        <w:rPr>
          <w:rFonts w:ascii="Helvetica" w:hAnsi="Helvetica" w:cs="Arial"/>
          <w:sz w:val="20"/>
          <w:szCs w:val="20"/>
        </w:rPr>
        <w:fldChar w:fldCharType="begin"/>
      </w:r>
      <w:r w:rsidR="003577D9">
        <w:rPr>
          <w:rFonts w:ascii="Helvetica" w:hAnsi="Helvetica" w:cs="Arial"/>
          <w:sz w:val="20"/>
          <w:szCs w:val="20"/>
        </w:rPr>
        <w:instrText xml:space="preserve"> ADDIN ZOTERO_ITEM CSL_CITATION {"citationID":"U4aCW09W","properties":{"formattedCitation":"(10\\uc0\\u8211{}12)","plainCitation":"(10–12)","noteIndex":0},"citationItems":[{"id":4902,"uris":["http://zotero.org/users/9264269/items/AJG7LN5S"],"itemData":{"id":4902,"type":"article-journal","container-title":"Neural Networks","DOI":"10.1016/s0893-6080(96)00035-4","ISSN":"0893-6080","issue":"8","language":"en","license":"https://www.elsevier.com/tdm/userlicense/1.0/","page":"1265-1279","publisher":"Elsevier BV","source":"Crossref","title":"Forward Models for Physiological Motor Control","volume":"9","author":[{"family":"Miall","given":"R.C."},{"family":"Wolpert","given":"D.M."}],"issued":{"date-parts":[["1996",11]]}}},{"id":4903,"uris":["http://zotero.org/users/9264269/items/DI7W85X3"],"itemData":{"id":4903,"type":"article-journal","abstract":"Associative learning enables animals to anticipate the occurrence of important outcomes. Learning occurs when the actual outcome differs from the predicted outcome, resulting in a prediction error. Neurons in several brain structures appear to code prediction errors in relation to rewards, punishments, external stimuli, and behavioral reactions. In one form, dopamine neurons, norepinephrine neurons, and nucleus basalis neurons broadcast prediction errors as global reinforcement or teaching signals to large postsynaptic structures. In other cases, error signals are coded by selected neurons in the cerebellum, superior colliculus, frontal eye fields, parietal cortex, striatum, and visual system, where they influence specific subgroups of neurons. Prediction errors can be used in postsynaptic structures for the immediate selection of behavior or for synaptic changes underlying behavioral learning. The coding of prediction errors may represent a basic mode of brain function that may also contribute to the processing of sensory information and the short-term control of behavior.","container-title":"Annual Review of Neuroscience","DOI":"10.1146/annurev.neuro.23.1.473","ISSN":"0147-006X, 1545-4126","issue":"1","journalAbbreviation":"Annu. Rev. Neurosci.","language":"en","page":"473-500","publisher":"Annual Reviews","source":"Crossref","title":"Neuronal Coding of Prediction Errors","volume":"23","author":[{"family":"Schultz","given":"Wolfram"},{"family":"Dickinson","given":"Anthony"}],"issued":{"date-parts":[["2000",3]]}}},{"id":344,"uris":["http://zotero.org/users/9264269/items/WIV358ML"],"itemData":{"id":344,"type":"article-journal","abstract":"This article reviews a free-energy formulation that advances Helmholtz's agenda to find principles of brain function based on conservation laws and neuronal energy. It rests on advances in statistical physics, theoretical biology and machine learning to explain a remarkable range of facts about brain structure and function. We could have just scratched the surface of what this formulation offers; for example, it is becoming clear that the Bayesian brain is just one facet of the free-energy principle and that perception is an inevitable consequence of active exchange with the environment. Furthermore, one can see easily how constructs like memory, attention, value, reinforcement and salience might disclose their simple relationships within this framework. © 2009 Elsevier Ltd. All rights reserved.","container-title":"Trends in Cognitive Sciences","DOI":"10.1016/j.tics.2009.04.005","ISSN":"13646613","issue":"7","page":"293–301","PMID":"19559644","title":"The free-energy principle: a rough guide to the brain?","volume":"13","author":[{"family":"Friston","given":"Karl"}],"issued":{"date-parts":[["2009"]]}}}],"schema":"https://github.com/citation-style-language/schema/raw/master/csl-citation.json"} </w:instrText>
      </w:r>
      <w:r w:rsidR="00350816" w:rsidRPr="00870FEC">
        <w:rPr>
          <w:rFonts w:ascii="Helvetica" w:hAnsi="Helvetica" w:cs="Arial"/>
          <w:sz w:val="20"/>
          <w:szCs w:val="20"/>
        </w:rPr>
        <w:fldChar w:fldCharType="separate"/>
      </w:r>
      <w:r w:rsidR="003577D9" w:rsidRPr="003577D9">
        <w:rPr>
          <w:rFonts w:ascii="Helvetica" w:hAnsi="Helvetica" w:cs="Times New Roman"/>
          <w:sz w:val="20"/>
        </w:rPr>
        <w:t>(10–12)</w:t>
      </w:r>
      <w:r w:rsidR="00350816" w:rsidRPr="00870FEC">
        <w:rPr>
          <w:rFonts w:ascii="Helvetica" w:hAnsi="Helvetica" w:cs="Arial"/>
          <w:sz w:val="20"/>
          <w:szCs w:val="20"/>
        </w:rPr>
        <w:fldChar w:fldCharType="end"/>
      </w:r>
      <w:r w:rsidR="00350816" w:rsidRPr="00870FEC">
        <w:rPr>
          <w:rFonts w:ascii="Helvetica" w:hAnsi="Helvetica" w:cs="Arial"/>
          <w:sz w:val="20"/>
          <w:szCs w:val="20"/>
        </w:rPr>
        <w:t>.</w:t>
      </w:r>
      <w:r w:rsidRPr="00725AA5">
        <w:rPr>
          <w:rFonts w:ascii="Helvetica" w:hAnsi="Helvetica" w:cs="Arial"/>
          <w:sz w:val="20"/>
          <w:szCs w:val="20"/>
        </w:rPr>
        <w:t xml:space="preserve"> Within social contexts, these signals allow individuals to refine expectations about others’ intentions and adjust behavior accordingly. Although PE signaling has been classically linked to dopaminergic activity</w:t>
      </w:r>
      <w:r>
        <w:rPr>
          <w:rFonts w:ascii="Helvetica" w:hAnsi="Helvetica" w:cs="Arial"/>
          <w:sz w:val="20"/>
          <w:szCs w:val="20"/>
        </w:rPr>
        <w:t xml:space="preserve"> and ventral striatum</w:t>
      </w:r>
      <w:r w:rsidRPr="00725AA5">
        <w:rPr>
          <w:rFonts w:ascii="Helvetica" w:hAnsi="Helvetica" w:cs="Arial"/>
          <w:sz w:val="20"/>
          <w:szCs w:val="20"/>
        </w:rPr>
        <w:t>, converging evidence demonstrates that it is implemented across distributed neural systems, including striatal, frontal, cingulate, and sensory processing regions</w:t>
      </w:r>
      <w:r w:rsidR="003577D9">
        <w:rPr>
          <w:rFonts w:ascii="Helvetica" w:hAnsi="Helvetica" w:cs="Arial"/>
          <w:sz w:val="20"/>
          <w:szCs w:val="20"/>
        </w:rPr>
        <w:t xml:space="preserve"> </w:t>
      </w:r>
      <w:r w:rsidR="003577D9">
        <w:rPr>
          <w:rFonts w:ascii="Helvetica" w:hAnsi="Helvetica" w:cs="Arial"/>
          <w:sz w:val="20"/>
          <w:szCs w:val="20"/>
        </w:rPr>
        <w:fldChar w:fldCharType="begin"/>
      </w:r>
      <w:r w:rsidR="003D0D39">
        <w:rPr>
          <w:rFonts w:ascii="Helvetica" w:hAnsi="Helvetica" w:cs="Arial"/>
          <w:sz w:val="20"/>
          <w:szCs w:val="20"/>
        </w:rPr>
        <w:instrText xml:space="preserve"> ADDIN ZOTERO_ITEM CSL_CITATION {"citationID":"31t2jHWv","properties":{"formattedCitation":"(13\\uc0\\u8211{}16)","plainCitation":"(13–16)","noteIndex":0},"citationItems":[{"id":5466,"uris":["http://zotero.org/users/9264269/items/8LXZFSQ2"],"itemData":{"id":5466,"type":"article-journal","abstract":"Abstract\n            Increased striatal dopamine synthesis capacity has consistently been reported in patients with schizophrenia. However, the mechanism translating this into behavior and symptoms remains unclear. It has been proposed that heightened striatal dopamine may blunt dopaminergic reward prediction error signaling during reinforcement learning. In this study, we investigated striatal dopamine synthesis capacity, reward prediction errors, and their association in unmedicated schizophrenia patients (n = 19) and healthy controls (n = 23). They took part in FDOPA-PET and underwent functional magnetic resonance imaging (fMRI) scanning, where they performed a reversal-learning paradigm. The groups were compared regarding dopamine synthesis capacity (Kicer), fMRI neural prediction error signals, and the correlation of both. Patients did not differ from controls with respect to striatal Kicer. Taking into account, comorbid alcohol abuse revealed that patients without such abuse showed elevated Kicer in the associative striatum, while those with abuse did not differ from controls. Comparing all patients to controls, patients performed worse during reversal learning and displayed reduced prediction error signaling in the ventral striatum. In controls, Kicer in the limbic striatum correlated with higher reward prediction error signaling, while there was no significant association in patients. Kicer in the associative striatum correlated with higher positive symptoms and blunted reward prediction error signaling was associated with negative symptoms. Our results suggest a dissociation between striatal subregions and symptom domains, with elevated dopamine synthesis capacity in the associative striatum contributing to positive symptoms while blunted prediction error signaling in the ventral striatum related to negative symptoms.","container-title":"Schizophrenia Bulletin","DOI":"10.1093/schbul/sbaa055","ISSN":"0586-7614, 1745-1701","issue":"6","language":"en","license":"http://creativecommons.org/licenses/by-nc-nd/4.0/","page":"1535-1546","source":"DOI.org (Crossref)","title":"Striatal Dopamine and Reward Prediction Error Signaling in Unmedicated Schizophrenia Patients","volume":"46","author":[{"family":"Katthagen","given":"Teresa"},{"family":"Kaminski","given":"Jakob"},{"family":"Heinz","given":"Andreas"},{"family":"Buchert","given":"Ralph"},{"family":"Schlagenhauf","given":"Florian"}],"issued":{"date-parts":[["2020",12,1]]}}},{"id":4776,"uris":["http://zotero.org/users/9264269/items/2MF4KWPP"],"itemData":{"id":4776,"type":"article-journal","abstract":"Abstract\n            Schizophrenia is a severe psychiatric disorder affecting 21 million people worldwide. People with schizophrenia suffer from symptoms including psychosis and delusions, apathy, anhedonia, and cognitive deficits. Strikingly, schizophrenia is characterised by a learning paradox involving difficulties learning from rewarding events, whilst simultaneously ‘overlearning’ about irrelevant or neutral information. While dysfunction in dopaminergic signalling has long been linked to the pathophysiology of schizophrenia, a cohesive framework that accounts for this learning paradox remains elusive. Recently, there has been an explosion of new research investigating how dopamine contributes to reinforcement learning, which illustrates that midbrain dopamine contributes in complex ways to reinforcement learning, not previously envisioned. This new data brings new possibilities for how dopamine signalling contributes to the symptomatology of schizophrenia. Building on recent work, we present a new neural framework for how we might envision specific dopamine circuits contributing to this learning paradox in schizophrenia in the context of models of reinforcement learning. Further, we discuss avenues of preclinical research with the use of cutting-edge neuroscience techniques where aspects of this model may be tested. Ultimately, it is hoped that this review will spur to action more research utilising specific reinforcement learning paradigms in preclinical models of schizophrenia, to reconcile seemingly disparate symptomatology and develop more efficient therapeutics.","container-title":"Neuropsychopharmacology","DOI":"10.1038/s41386-021-01188-y","ISSN":"0893-133X, 1740-634X","issue":"3","journalAbbreviation":"Neuropsychopharmacol.","language":"en","note":"number: 3","page":"628-640","source":"DOI.org (Crossref)","title":"The prediction-error hypothesis of schizophrenia: new data point to circuit-specific changes in dopamine activity","title-short":"The prediction-error hypothesis of schizophrenia","volume":"47","author":[{"family":"Millard","given":"Samuel J."},{"family":"Bearden","given":"Carrie E."},{"family":"Karlsgodt","given":"Katherine H."},{"family":"Sharpe","given":"Melissa J."}],"issued":{"date-parts":[["2022",2]]}}},{"id":5465,"uris":["http://zotero.org/users/9264269/items/6GZTNUHW"],"itemData":{"id":5465,"type":"article-journal","container-title":"Schizophrenia Bulletin","DOI":"10.1093/schbul/sbw045","ISSN":"0586-7614, 1745-1701","issue":"6","journalAbbreviation":"SCHBUL","language":"en","page":"1467-1475","source":"DOI.org (Crossref)","title":"Motivational Context Modulates Prediction Error Response in Schizophrenia","volume":"42","author":[{"family":"Reinen","given":"Jenna M."},{"family":"Van Snellenberg","given":"Jared X."},{"family":"Horga","given":"Guillermo"},{"family":"Abi-Dargham","given":"Anissa"},{"family":"Daw","given":"Nathaniel D."},{"family":"Shohamy","given":"Daphna"}],"issued":{"date-parts":[["2016",11]]}}},{"id":392,"uris":["http://zotero.org/users/9264269/items/62HXSG2Y"],"itemData":{"id":392,"type":"article-journal","abstract":"Social learning is fundamental to human interactions, yet its computational and physiological mechanisms are not well understood. One prominent open question concerns the role of neuromodulatory transmitters. We combined fMRI, computational modelling and genetics to address this question in two separate samples (N1/435, N1/447). Participants played a game requiring inference on an adviser's intentions whose motivation to help or mislead changed over time. Our analyses suggest that hierarchically structured belief updates about current advice validity and the adviser's trustworthiness, respectively, depend on different neuromodulatory systems. Low-level prediction errors (PEs) about advice accuracy not only activated regions known to support 'theory of mind', but also the dopaminergic midbrain. Furthermore, PE responses in ventral striatum were influenced by the Met/Val polymorphismof the Catechol-O-Methyltransferase (COMT) gene. By contrast, high-level PEs ('expected uncertainty') about the adviser's fidelity activated the cholinergic septum. These findings, replicated in both samples, have important implications: They suggest that social learning rests on hierarchically related PEs encoded by midbrain and septum activity, respectively, in the same manner as other forms of learning under volatility. Furthermore, these hierarchical PEs may be broadcast by dopaminergic and cholinergic projections to induce plasticity specifically in cortical areas known to represent beliefs about others.","container-title":"Social Cognitive and Affective Neuroscience","DOI":"10.1093/scan/nsw171","ISSN":"17495024","issue":"4","page":"618–634","PMID":"28119508","title":"Hierarchical prediction errors in midbrain and septum during social learning","volume":"12","author":[{"family":"Diaconescu","given":"Andreea O."},{"family":"Mathys","given":"Christoph"},{"family":"Weber","given":"Lilian A.E."},{"family":"Kasper","given":"Lars"},{"family":"Mauer","given":"Jan"},{"family":"Stephan","given":"Klaas E."}],"issued":{"date-parts":[["2017"]]}}}],"schema":"https://github.com/citation-style-language/schema/raw/master/csl-citation.json"} </w:instrText>
      </w:r>
      <w:r w:rsidR="003577D9">
        <w:rPr>
          <w:rFonts w:ascii="Helvetica" w:hAnsi="Helvetica" w:cs="Arial"/>
          <w:sz w:val="20"/>
          <w:szCs w:val="20"/>
        </w:rPr>
        <w:fldChar w:fldCharType="separate"/>
      </w:r>
      <w:r w:rsidR="003D0D39" w:rsidRPr="003D0D39">
        <w:rPr>
          <w:rFonts w:ascii="Helvetica" w:hAnsi="Helvetica" w:cs="Times New Roman"/>
          <w:sz w:val="20"/>
        </w:rPr>
        <w:t>(13–16)</w:t>
      </w:r>
      <w:r w:rsidR="003577D9">
        <w:rPr>
          <w:rFonts w:ascii="Helvetica" w:hAnsi="Helvetica" w:cs="Arial"/>
          <w:sz w:val="20"/>
          <w:szCs w:val="20"/>
        </w:rPr>
        <w:fldChar w:fldCharType="end"/>
      </w:r>
      <w:r w:rsidR="003577D9">
        <w:rPr>
          <w:rFonts w:ascii="Helvetica" w:hAnsi="Helvetica" w:cs="Arial"/>
          <w:sz w:val="20"/>
          <w:szCs w:val="20"/>
        </w:rPr>
        <w:t>.</w:t>
      </w:r>
    </w:p>
    <w:p w14:paraId="4B83E20E" w14:textId="1F712752" w:rsidR="00725AA5" w:rsidRPr="00725AA5" w:rsidRDefault="00725AA5" w:rsidP="003D0D39">
      <w:pPr>
        <w:pStyle w:val="BodyText"/>
        <w:spacing w:line="276" w:lineRule="auto"/>
        <w:jc w:val="both"/>
        <w:rPr>
          <w:rFonts w:ascii="Helvetica" w:hAnsi="Helvetica" w:cs="Arial"/>
          <w:sz w:val="20"/>
          <w:szCs w:val="20"/>
        </w:rPr>
      </w:pPr>
      <w:r w:rsidRPr="00725AA5">
        <w:rPr>
          <w:rFonts w:ascii="Helvetica" w:hAnsi="Helvetica" w:cs="Arial"/>
          <w:sz w:val="20"/>
          <w:szCs w:val="20"/>
        </w:rPr>
        <w:t>Computational psychiatry provides a mechanistic framework to formalize these processes by decomposing behavior into latent parameters derived from reinforcement learning models</w:t>
      </w:r>
      <w:r w:rsidR="008C6134">
        <w:rPr>
          <w:rFonts w:ascii="Helvetica" w:hAnsi="Helvetica" w:cs="Arial"/>
          <w:sz w:val="20"/>
          <w:szCs w:val="20"/>
        </w:rPr>
        <w:t xml:space="preserve"> </w:t>
      </w:r>
      <w:r w:rsidR="0088554C" w:rsidRPr="003C3658">
        <w:rPr>
          <w:rFonts w:ascii="Helvetica" w:hAnsi="Helvetica" w:cs="Arial"/>
          <w:sz w:val="20"/>
          <w:szCs w:val="20"/>
        </w:rPr>
        <w:fldChar w:fldCharType="begin"/>
      </w:r>
      <w:r w:rsidR="003577D9">
        <w:rPr>
          <w:rFonts w:ascii="Helvetica" w:hAnsi="Helvetica" w:cs="Arial"/>
          <w:sz w:val="20"/>
          <w:szCs w:val="20"/>
        </w:rPr>
        <w:instrText xml:space="preserve"> ADDIN ZOTERO_ITEM CSL_CITATION {"citationID":"aNxEsK6y","properties":{"formattedCitation":"(17)","plainCitation":"(17)","noteIndex":0},"citationItems":[{"id":5469,"uris":["http://zotero.org/users/9264269/items/3MSW8GDX"],"itemData":{"id":5469,"type":"article-journal","abstract":"ABSTRACT\n            Understanding others' intentions amidst uncertainty is critical for effective social interactions, yet the neural mechanisms underlying this process are not fully understood. Here, we combined computational modeling and single</w:instrText>
      </w:r>
      <w:r w:rsidR="003577D9">
        <w:rPr>
          <w:rFonts w:ascii="Cambria Math" w:hAnsi="Cambria Math" w:cs="Cambria Math"/>
          <w:sz w:val="20"/>
          <w:szCs w:val="20"/>
        </w:rPr>
        <w:instrText>‐</w:instrText>
      </w:r>
      <w:r w:rsidR="003577D9">
        <w:rPr>
          <w:rFonts w:ascii="Helvetica" w:hAnsi="Helvetica" w:cs="Arial"/>
          <w:sz w:val="20"/>
          <w:szCs w:val="20"/>
        </w:rPr>
        <w:instrText>trial EEG analysis to examine how the brain dynamically updates beliefs about others' intentions in volatile social contexts. A total of 43 healthy volunteers engaged in a deception</w:instrText>
      </w:r>
      <w:r w:rsidR="003577D9">
        <w:rPr>
          <w:rFonts w:ascii="Cambria Math" w:hAnsi="Cambria Math" w:cs="Cambria Math"/>
          <w:sz w:val="20"/>
          <w:szCs w:val="20"/>
        </w:rPr>
        <w:instrText>‐</w:instrText>
      </w:r>
      <w:r w:rsidR="003577D9">
        <w:rPr>
          <w:rFonts w:ascii="Helvetica" w:hAnsi="Helvetica" w:cs="Arial"/>
          <w:sz w:val="20"/>
          <w:szCs w:val="20"/>
        </w:rPr>
        <w:instrText>free advice</w:instrText>
      </w:r>
      <w:r w:rsidR="003577D9">
        <w:rPr>
          <w:rFonts w:ascii="Cambria Math" w:hAnsi="Cambria Math" w:cs="Cambria Math"/>
          <w:sz w:val="20"/>
          <w:szCs w:val="20"/>
        </w:rPr>
        <w:instrText>‐</w:instrText>
      </w:r>
      <w:r w:rsidR="003577D9">
        <w:rPr>
          <w:rFonts w:ascii="Helvetica" w:hAnsi="Helvetica" w:cs="Arial"/>
          <w:sz w:val="20"/>
          <w:szCs w:val="20"/>
        </w:rPr>
        <w:instrText>taking task, featuring alternating stable and volatile phases that systematically manipulated the reliability of an adviser's intentions. Using the hierarchical Gaussian filter (HGF), a Bayesian model of learning, we quantified trial</w:instrText>
      </w:r>
      <w:r w:rsidR="003577D9">
        <w:rPr>
          <w:rFonts w:ascii="Cambria Math" w:hAnsi="Cambria Math" w:cs="Cambria Math"/>
          <w:sz w:val="20"/>
          <w:szCs w:val="20"/>
        </w:rPr>
        <w:instrText>‐</w:instrText>
      </w:r>
      <w:r w:rsidR="003577D9">
        <w:rPr>
          <w:rFonts w:ascii="Helvetica" w:hAnsi="Helvetica" w:cs="Arial"/>
          <w:sz w:val="20"/>
          <w:szCs w:val="20"/>
        </w:rPr>
        <w:instrText>by</w:instrText>
      </w:r>
      <w:r w:rsidR="003577D9">
        <w:rPr>
          <w:rFonts w:ascii="Cambria Math" w:hAnsi="Cambria Math" w:cs="Cambria Math"/>
          <w:sz w:val="20"/>
          <w:szCs w:val="20"/>
        </w:rPr>
        <w:instrText>‐</w:instrText>
      </w:r>
      <w:r w:rsidR="003577D9">
        <w:rPr>
          <w:rFonts w:ascii="Helvetica" w:hAnsi="Helvetica" w:cs="Arial"/>
          <w:sz w:val="20"/>
          <w:szCs w:val="20"/>
        </w:rPr>
        <w:instrText>trial updates of participants' beliefs and their neural correlates. EEG amplitudes systematically varied according to task volatility, engaging neural regions associated with uncertainty processing such as the fusiform gyrus and posterior cingulate cortex. Sensor</w:instrText>
      </w:r>
      <w:r w:rsidR="003577D9">
        <w:rPr>
          <w:rFonts w:ascii="Cambria Math" w:hAnsi="Cambria Math" w:cs="Cambria Math"/>
          <w:sz w:val="20"/>
          <w:szCs w:val="20"/>
        </w:rPr>
        <w:instrText>‐</w:instrText>
      </w:r>
      <w:r w:rsidR="003577D9">
        <w:rPr>
          <w:rFonts w:ascii="Helvetica" w:hAnsi="Helvetica" w:cs="Arial"/>
          <w:sz w:val="20"/>
          <w:szCs w:val="20"/>
        </w:rPr>
        <w:instrText>level EEG analyses confirmed a temporal sequence consistent with the hierarchical computations predicted by the HGF, whereby lower</w:instrText>
      </w:r>
      <w:r w:rsidR="003577D9">
        <w:rPr>
          <w:rFonts w:ascii="Cambria Math" w:hAnsi="Cambria Math" w:cs="Cambria Math"/>
          <w:sz w:val="20"/>
          <w:szCs w:val="20"/>
        </w:rPr>
        <w:instrText>‐</w:instrText>
      </w:r>
      <w:r w:rsidR="003577D9">
        <w:rPr>
          <w:rFonts w:ascii="Helvetica" w:hAnsi="Helvetica" w:cs="Arial"/>
          <w:sz w:val="20"/>
          <w:szCs w:val="20"/>
        </w:rPr>
        <w:instrText>level prediction errors were processed earlier than higher</w:instrText>
      </w:r>
      <w:r w:rsidR="003577D9">
        <w:rPr>
          <w:rFonts w:ascii="Cambria Math" w:hAnsi="Cambria Math" w:cs="Cambria Math"/>
          <w:sz w:val="20"/>
          <w:szCs w:val="20"/>
        </w:rPr>
        <w:instrText>‐</w:instrText>
      </w:r>
      <w:r w:rsidR="003577D9">
        <w:rPr>
          <w:rFonts w:ascii="Helvetica" w:hAnsi="Helvetica" w:cs="Arial"/>
          <w:sz w:val="20"/>
          <w:szCs w:val="20"/>
        </w:rPr>
        <w:instrText>order volatility</w:instrText>
      </w:r>
      <w:r w:rsidR="003577D9">
        <w:rPr>
          <w:rFonts w:ascii="Cambria Math" w:hAnsi="Cambria Math" w:cs="Cambria Math"/>
          <w:sz w:val="20"/>
          <w:szCs w:val="20"/>
        </w:rPr>
        <w:instrText>‐</w:instrText>
      </w:r>
      <w:r w:rsidR="003577D9">
        <w:rPr>
          <w:rFonts w:ascii="Helvetica" w:hAnsi="Helvetica" w:cs="Arial"/>
          <w:sz w:val="20"/>
          <w:szCs w:val="20"/>
        </w:rPr>
        <w:instrText>related signals. Moreover, individual differences in these hierarchical neural processes correlated significantly with psychosocial functioning, suggesting that disruptions in Bayesian belief updating may underlie functional impairments in clinical populations. Collectively, our results reveal novel neural evidence for hierarchical Bayesian inference during social learning, highlighting its critical role in adaptive social behavior and potential relevance to mental health.","container-title":"Human Brain Mapping","DOI":"10.1002/hbm.70433","ISSN":"1065-9471, 1097-0193","issue":"1","journalAbbreviation":"Human Brain Mapping","language":"en","page":"e70433","source":"DOI.org (Crossref)","title":"Neural Dynamics of Social Cognition: A Single</w:instrText>
      </w:r>
      <w:r w:rsidR="003577D9">
        <w:rPr>
          <w:rFonts w:ascii="Cambria Math" w:hAnsi="Cambria Math" w:cs="Cambria Math"/>
          <w:sz w:val="20"/>
          <w:szCs w:val="20"/>
        </w:rPr>
        <w:instrText>‐</w:instrText>
      </w:r>
      <w:r w:rsidR="003577D9">
        <w:rPr>
          <w:rFonts w:ascii="Helvetica" w:hAnsi="Helvetica" w:cs="Arial"/>
          <w:sz w:val="20"/>
          <w:szCs w:val="20"/>
        </w:rPr>
        <w:instrText xml:space="preserve">Trial Computational Analysis of Learning Under Uncertainty","title-short":"Neural Dynamics of Social Cognition","volume":"47","author":[{"family":"Charlton","given":"Colleen E."},{"family":"Hauke","given":"Daniel J."},{"family":"Litvak","given":"Vladimir"},{"family":"Wobmann","given":"Michelle"},{"family":"De Bock","given":"Renate"},{"family":"Andreou","given":"Christina"},{"family":"Borgwardt","given":"Stefan"},{"family":"Roth","given":"Volker"},{"family":"Diaconescu","given":"Andreea O."}],"issued":{"date-parts":[["2026",1]]}}}],"schema":"https://github.com/citation-style-language/schema/raw/master/csl-citation.json"} </w:instrText>
      </w:r>
      <w:r w:rsidR="0088554C" w:rsidRPr="003C3658">
        <w:rPr>
          <w:rFonts w:ascii="Helvetica" w:hAnsi="Helvetica" w:cs="Arial"/>
          <w:sz w:val="20"/>
          <w:szCs w:val="20"/>
        </w:rPr>
        <w:fldChar w:fldCharType="separate"/>
      </w:r>
      <w:r w:rsidR="0088554C" w:rsidRPr="003C3658">
        <w:rPr>
          <w:rFonts w:ascii="Helvetica" w:hAnsi="Helvetica" w:cs="Arial"/>
          <w:noProof/>
          <w:sz w:val="20"/>
          <w:szCs w:val="20"/>
        </w:rPr>
        <w:t>(17)</w:t>
      </w:r>
      <w:r w:rsidR="0088554C" w:rsidRPr="003C3658">
        <w:rPr>
          <w:rFonts w:ascii="Helvetica" w:hAnsi="Helvetica" w:cs="Arial"/>
          <w:sz w:val="20"/>
          <w:szCs w:val="20"/>
        </w:rPr>
        <w:fldChar w:fldCharType="end"/>
      </w:r>
      <w:r w:rsidRPr="00725AA5">
        <w:rPr>
          <w:rFonts w:ascii="Helvetica" w:hAnsi="Helvetica" w:cs="Arial"/>
          <w:sz w:val="20"/>
          <w:szCs w:val="20"/>
        </w:rPr>
        <w:t>. In this framework, the learning rate (α) determines how rapidly expectations are updated in response to PEs, while the inverse temperature (β) reflects the precision</w:t>
      </w:r>
      <w:r w:rsidR="0088554C">
        <w:rPr>
          <w:rFonts w:ascii="Helvetica" w:hAnsi="Helvetica" w:cs="Arial"/>
          <w:sz w:val="20"/>
          <w:szCs w:val="20"/>
        </w:rPr>
        <w:t xml:space="preserve">, </w:t>
      </w:r>
      <w:r w:rsidRPr="00725AA5">
        <w:rPr>
          <w:rFonts w:ascii="Helvetica" w:hAnsi="Helvetica" w:cs="Arial"/>
          <w:sz w:val="20"/>
          <w:szCs w:val="20"/>
        </w:rPr>
        <w:t>or stochasticity</w:t>
      </w:r>
      <w:r w:rsidR="0088554C">
        <w:rPr>
          <w:rFonts w:ascii="Helvetica" w:hAnsi="Helvetica" w:cs="Arial"/>
          <w:sz w:val="20"/>
          <w:szCs w:val="20"/>
        </w:rPr>
        <w:t xml:space="preserve">, </w:t>
      </w:r>
      <w:r w:rsidRPr="00725AA5">
        <w:rPr>
          <w:rFonts w:ascii="Helvetica" w:hAnsi="Helvetica" w:cs="Arial"/>
          <w:sz w:val="20"/>
          <w:szCs w:val="20"/>
        </w:rPr>
        <w:t>of the decision-making process</w:t>
      </w:r>
      <w:r>
        <w:rPr>
          <w:rFonts w:ascii="Helvetica" w:hAnsi="Helvetica" w:cs="Arial"/>
          <w:sz w:val="20"/>
          <w:szCs w:val="20"/>
        </w:rPr>
        <w:t xml:space="preserve">, </w:t>
      </w:r>
      <w:r w:rsidRPr="003C3658">
        <w:rPr>
          <w:rFonts w:ascii="Helvetica" w:hAnsi="Helvetica" w:cs="Arial"/>
          <w:sz w:val="20"/>
          <w:szCs w:val="20"/>
        </w:rPr>
        <w:t>which indexes the precision or "noise" of the decision-making process</w:t>
      </w:r>
      <w:r w:rsidR="00541134">
        <w:rPr>
          <w:rFonts w:ascii="Helvetica" w:hAnsi="Helvetica" w:cs="Arial"/>
          <w:sz w:val="20"/>
          <w:szCs w:val="20"/>
        </w:rPr>
        <w:t xml:space="preserve"> </w:t>
      </w:r>
      <w:r w:rsidR="0088554C" w:rsidRPr="003C3658">
        <w:rPr>
          <w:rFonts w:ascii="Helvetica" w:hAnsi="Helvetica" w:cs="Arial"/>
          <w:sz w:val="20"/>
          <w:szCs w:val="20"/>
        </w:rPr>
        <w:fldChar w:fldCharType="begin"/>
      </w:r>
      <w:r w:rsidR="003577D9">
        <w:rPr>
          <w:rFonts w:ascii="Helvetica" w:hAnsi="Helvetica" w:cs="Arial"/>
          <w:sz w:val="20"/>
          <w:szCs w:val="20"/>
        </w:rPr>
        <w:instrText xml:space="preserve"> ADDIN ZOTERO_ITEM CSL_CITATION {"citationID":"Rwo0bNld","properties":{"formattedCitation":"(18,19)","plainCitation":"(18,19)","noteIndex":0},"citationItems":[{"id":5468,"uris":["http://zotero.org/users/9264269/items/PPNAIBFP"],"itemData":{"id":5468,"type":"article-journal","abstract":"A number of recent advances have been achieved in the study of midbrain dopaminergic neurons. Understanding these advances and how they relate to one another requires a deep understanding of the computational models that serve as an explanatory framework and guide ongoing experimental inquiry. This intertwining of theory and experiment now suggests very clearly that the phasic activity of the midbrain dopamine neurons provides a global mechanism for synaptic modification. These synaptic modifications, in turn, provide the mechanistic underpinning for a specific class of reinforcement learning mechanisms that now seem to underlie much of human and animal behavior. This review describes both the critical empirical findings that are at the root of this conclusion and the fantastic theoretical advances from which this conclusion is drawn.","container-title":"Proceedings of the National Academy of Sciences","DOI":"10.1073/pnas.1014269108","ISSN":"0027-8424, 1091-6490","issue":"supplement_3","journalAbbreviation":"Proc. Natl. Acad. Sci. U.S.A.","language":"en","page":"15647-15654","source":"DOI.org (Crossref)","title":"Understanding dopamine and reinforcement learning: The dopamine reward prediction error hypothesis","title-short":"Understanding dopamine and reinforcement learning","volume":"108","author":[{"family":"Glimcher","given":"Paul W."}],"issued":{"date-parts":[["2011",9,13]]}}},{"id":4,"uris":["http://zotero.org/users/9264269/items/8JSX7JPN"],"itemData":{"id":4,"type":"article-journal","container-title":"Nature Neuroscience","DOI":"10.1038/nn.4238","ISSN":"1097-6256, 1546-1726","issue":"3","journalAbbreviation":"Nat Neurosci","language":"en","page":"404-413","source":"DOI.org (Crossref)","title":"Computational psychiatry as a bridge from neuroscience to clinical applications","volume":"19","author":[{"family":"Huys","given":"Quentin J M"},{"family":"Maia","given":"Tiago V"},{"family":"Frank","given":"Michael J"}],"issued":{"date-parts":[["2016",3]]}}}],"schema":"https://github.com/citation-style-language/schema/raw/master/csl-citation.json"} </w:instrText>
      </w:r>
      <w:r w:rsidR="0088554C" w:rsidRPr="003C3658">
        <w:rPr>
          <w:rFonts w:ascii="Helvetica" w:hAnsi="Helvetica" w:cs="Arial"/>
          <w:sz w:val="20"/>
          <w:szCs w:val="20"/>
        </w:rPr>
        <w:fldChar w:fldCharType="separate"/>
      </w:r>
      <w:r w:rsidR="0088554C" w:rsidRPr="003C3658">
        <w:rPr>
          <w:rFonts w:ascii="Helvetica" w:hAnsi="Helvetica" w:cs="Arial"/>
          <w:noProof/>
          <w:sz w:val="20"/>
          <w:szCs w:val="20"/>
        </w:rPr>
        <w:t>(18,19)</w:t>
      </w:r>
      <w:r w:rsidR="0088554C" w:rsidRPr="003C3658">
        <w:rPr>
          <w:rFonts w:ascii="Helvetica" w:hAnsi="Helvetica" w:cs="Arial"/>
          <w:sz w:val="20"/>
          <w:szCs w:val="20"/>
        </w:rPr>
        <w:fldChar w:fldCharType="end"/>
      </w:r>
      <w:r w:rsidRPr="00725AA5">
        <w:rPr>
          <w:rFonts w:ascii="Helvetica" w:hAnsi="Helvetica" w:cs="Arial"/>
          <w:sz w:val="20"/>
          <w:szCs w:val="20"/>
        </w:rPr>
        <w:t>. This approach enables dissociation between impairments in belief updating and deficits in the implementation of learned values into behavior, offering a powerful tool to characterize abnormalities in psychiatric disorders.</w:t>
      </w:r>
    </w:p>
    <w:p w14:paraId="1D8404FC" w14:textId="25F9C878" w:rsidR="00725AA5" w:rsidRPr="00725AA5" w:rsidRDefault="00725AA5" w:rsidP="003D0D39">
      <w:pPr>
        <w:pStyle w:val="BodyText"/>
        <w:spacing w:line="276" w:lineRule="auto"/>
        <w:jc w:val="both"/>
        <w:rPr>
          <w:rFonts w:ascii="Helvetica" w:hAnsi="Helvetica" w:cs="Arial"/>
          <w:sz w:val="20"/>
          <w:szCs w:val="20"/>
        </w:rPr>
      </w:pPr>
      <w:r w:rsidRPr="00725AA5">
        <w:rPr>
          <w:rFonts w:ascii="Helvetica" w:hAnsi="Helvetica" w:cs="Arial"/>
          <w:sz w:val="20"/>
          <w:szCs w:val="20"/>
        </w:rPr>
        <w:t>Within this framework, schizophrenia is associated with profound disruptions in prediction error processing and reinforcement learning</w:t>
      </w:r>
      <w:r w:rsidR="0007433C">
        <w:rPr>
          <w:rFonts w:ascii="Helvetica" w:hAnsi="Helvetica" w:cs="Arial"/>
          <w:sz w:val="20"/>
          <w:szCs w:val="20"/>
        </w:rPr>
        <w:t xml:space="preserve"> </w:t>
      </w:r>
      <w:r w:rsidR="0007433C" w:rsidRPr="009D1BC4">
        <w:rPr>
          <w:rFonts w:ascii="Helvetica" w:hAnsi="Helvetica" w:cs="Arial"/>
          <w:sz w:val="20"/>
          <w:szCs w:val="20"/>
        </w:rPr>
        <w:fldChar w:fldCharType="begin"/>
      </w:r>
      <w:r w:rsidR="003D0D39">
        <w:rPr>
          <w:rFonts w:ascii="Helvetica" w:hAnsi="Helvetica" w:cs="Arial"/>
          <w:sz w:val="20"/>
          <w:szCs w:val="20"/>
        </w:rPr>
        <w:instrText xml:space="preserve"> ADDIN ZOTERO_ITEM CSL_CITATION {"citationID":"757inXQw","properties":{"formattedCitation":"(20,21)","plainCitation":"(20,21)","noteIndex":0},"citationItems":[{"id":5481,"uris":["http://zotero.org/users/9264269/items/5A3ZTGED"],"itemData":{"id":5481,"type":"chapter","abstract":"Motivational deficits (avolition and anhedonia) have historically been considered important negative symptoms of schizophrenia. Numerous studies have attempted to identify the neural substrates of avolition and anhedonia in schizophrenia, but these studies have not produced much agreement. Deficits in various aspects of reinforcement processing have been observed in individuals with schizophrenia, but it is not exactly clear which of these deficits actually engender motivational impairments in SZ. The purpose of this chapter is to examine how various reinforcement-related behavioral and neural signals could contribute to motivational impairments in both schizophrenia, and psychiatric illness, in general. In particular, we describe different aspects of the concept of expected value (EV), such as the distinction between the EV of stimuli and the expected value of actions, the acquisition of value vs. the estimation of value, and the discounting of value as a consequence of time or effort required. We conclude that avolition and anhedonia in SZ are most commonly tied to aberrant signals for expected value, in the context of learning. We discuss implications for further research on the neural substrates of motivational impairments in psychiatric illness.","container-title":"Behavioral Neuroscience of Motivation","DOI":"10.1007/7854_2015_385","ISBN":"978-3-319-26933-7","language":"en","note":"collection-title: Current Topics in Behavioral Neurosciences","page":"375-410","publisher":"Springer International Publishing","publisher-place":"Cham","source":"DOI.org (Crossref)","title":"Motivational Deficits in Schizophrenia and the Representation of Expected Value","URL":"https://link.springer.com/10.1007/7854_2015_385","volume":"27","editor":[{"family":"Simpson","given":"Eleanor H."},{"family":"Balsam","given":"Peter D."}],"author":[{"family":"Waltz","given":"James A."},{"family":"Gold","given":"James M."}],"accessed":{"date-parts":[["2026",4,11]]},"issued":{"date-parts":[["2015"]]}}},{"id":5471,"uris":["http://zotero.org/users/9264269/items/9DUR5YNX"],"itemData":{"id":5471,"type":"article-journal","abstract":"Patients with schizophrenia demonstrate deficits in motivation and learning that suggest impairment in different aspects of the reward system. In this article, we present the results of 8 converging experiments that address subjective reward experience, the impact of rewards on decision making, and the role of rewards in guiding both rapid and long-term learning. All experiments compared the performance of stably treated outpatients with schizophrenia and demographically matched healthy volunteers. Results to date suggest (1) that patients have surprisingly normal experiences of positive emotion when presented with evocative stimuli, (2) that patients show reduced correlation, compared with controls, between their own subjective valuation of stimuli and action selection, (3) that decision making in patients appears to be compromised by deficits in the ability to fully represent the value of different choices and response options, and (4) that rapid learning on the basis of trial-to-trial feedback is severely impaired whereas more gradual learning may be surprisingly preserved in many paradigms. The overall pattern of findings suggests compromises in the orbital and dorsal prefrontal structures that play a critical role in the ability to represent the value of outcomes and plans. In contrast, patients often (but not always) approach normal performance levels on the slow learning achieved by the integration of reinforcement signals over many trials, thought to be mediated by the basal ganglia.","container-title":"Schizophrenia Bulletin","DOI":"10.1093/schbul/sbn068","ISSN":"0586-7614","issue":"5","journalAbbreviation":"Schizophr Bull","language":"eng","page":"835-847","PMID":"18591195","PMCID":"PMC2518641","source":"PubMed","title":"Reward processing in schizophrenia: a deficit in the representation of value","title-short":"Reward processing in schizophrenia","volume":"34","author":[{"family":"Gold","given":"James M."},{"family":"Waltz","given":"James A."},{"family":"Prentice","given":"Kristen J."},{"family":"Morris","given":"Sarah E."},{"family":"Heerey","given":"Erin A."}],"issued":{"date-parts":[["2008",9]]}}}],"schema":"https://github.com/citation-style-language/schema/raw/master/csl-citation.json"} </w:instrText>
      </w:r>
      <w:r w:rsidR="0007433C" w:rsidRPr="009D1BC4">
        <w:rPr>
          <w:rFonts w:ascii="Helvetica" w:hAnsi="Helvetica" w:cs="Arial"/>
          <w:sz w:val="20"/>
          <w:szCs w:val="20"/>
        </w:rPr>
        <w:fldChar w:fldCharType="separate"/>
      </w:r>
      <w:r w:rsidR="003D0D39" w:rsidRPr="003D0D39">
        <w:rPr>
          <w:rFonts w:ascii="Helvetica" w:hAnsi="Helvetica"/>
          <w:sz w:val="20"/>
        </w:rPr>
        <w:t>(20,21)</w:t>
      </w:r>
      <w:r w:rsidR="0007433C" w:rsidRPr="009D1BC4">
        <w:rPr>
          <w:rFonts w:ascii="Helvetica" w:hAnsi="Helvetica" w:cs="Arial"/>
          <w:sz w:val="20"/>
          <w:szCs w:val="20"/>
        </w:rPr>
        <w:fldChar w:fldCharType="end"/>
      </w:r>
      <w:r w:rsidRPr="00725AA5">
        <w:rPr>
          <w:rFonts w:ascii="Helvetica" w:hAnsi="Helvetica" w:cs="Arial"/>
          <w:sz w:val="20"/>
          <w:szCs w:val="20"/>
        </w:rPr>
        <w:t>. Behaviorally, individuals with SZ fail to effectively implement adaptive strategies such as “win–stay/loss–shift,” showing reduced sensitivity to positive social feedback despite relatively preserved responses to negative outcomes</w:t>
      </w:r>
      <w:r w:rsidR="002B77D5">
        <w:rPr>
          <w:rFonts w:ascii="Helvetica" w:hAnsi="Helvetica" w:cs="Arial"/>
          <w:sz w:val="20"/>
          <w:szCs w:val="20"/>
        </w:rPr>
        <w:t xml:space="preserve"> </w:t>
      </w:r>
      <w:r w:rsidR="002B77D5" w:rsidRPr="009D1BC4">
        <w:rPr>
          <w:rFonts w:ascii="Helvetica" w:hAnsi="Helvetica" w:cs="Arial"/>
          <w:sz w:val="20"/>
          <w:szCs w:val="20"/>
          <w:highlight w:val="white"/>
        </w:rPr>
        <w:fldChar w:fldCharType="begin"/>
      </w:r>
      <w:r w:rsidR="003D0D39">
        <w:rPr>
          <w:rFonts w:ascii="Helvetica" w:hAnsi="Helvetica" w:cs="Arial"/>
          <w:sz w:val="20"/>
          <w:szCs w:val="20"/>
          <w:highlight w:val="white"/>
        </w:rPr>
        <w:instrText xml:space="preserve"> ADDIN ZOTERO_ITEM CSL_CITATION {"citationID":"FloFfSUG","properties":{"formattedCitation":"(22)","plainCitation":"(22)","noteIndex":0},"citationItems":[{"id":4770,"uris":["http://zotero.org/users/9264269/items/9HWHNYET"],"itemData":{"id":4770,"type":"article-journal","container-title":"Brain","DOI":"10.1093/brain/awt076","ISSN":"0006-8950, 1460-2156","issue":"6","language":"en","note":"number: 6","page":"1968-1975","source":"DOI.org (Crossref)","title":"Trust versus paranoia: abnormal response to social reward in psychotic illness","title-short":"Trust versus paranoia","volume":"136","author":[{"family":"Gromann","given":"Paula M"},{"family":"Heslenfeld","given":"Dirk J"},{"family":"Fett","given":"Anne-Kathrin"},{"family":"Joyce","given":"Dan W"},{"family":"Shergill","given":"Sukhi S"},{"family":"Krabbendam","given":"Lydia"}],"issued":{"date-parts":[["2013",6,1]]}}}],"schema":"https://github.com/citation-style-language/schema/raw/master/csl-citation.json"} </w:instrText>
      </w:r>
      <w:r w:rsidR="002B77D5" w:rsidRPr="009D1BC4">
        <w:rPr>
          <w:rFonts w:ascii="Helvetica" w:hAnsi="Helvetica" w:cs="Arial"/>
          <w:sz w:val="20"/>
          <w:szCs w:val="20"/>
          <w:highlight w:val="white"/>
        </w:rPr>
        <w:fldChar w:fldCharType="separate"/>
      </w:r>
      <w:r w:rsidR="003D0D39" w:rsidRPr="003D0D39">
        <w:rPr>
          <w:rFonts w:ascii="Helvetica" w:hAnsi="Helvetica"/>
          <w:sz w:val="20"/>
        </w:rPr>
        <w:t>(22)</w:t>
      </w:r>
      <w:r w:rsidR="002B77D5" w:rsidRPr="009D1BC4">
        <w:rPr>
          <w:rFonts w:ascii="Helvetica" w:hAnsi="Helvetica" w:cs="Arial"/>
          <w:sz w:val="20"/>
          <w:szCs w:val="20"/>
          <w:highlight w:val="white"/>
        </w:rPr>
        <w:fldChar w:fldCharType="end"/>
      </w:r>
      <w:r w:rsidRPr="00725AA5">
        <w:rPr>
          <w:rFonts w:ascii="Helvetica" w:hAnsi="Helvetica" w:cs="Arial"/>
          <w:sz w:val="20"/>
          <w:szCs w:val="20"/>
        </w:rPr>
        <w:t>. At the neural level, functional imaging studies have revealed aberrant PE-related activity across frontal and cingulate regions, alongside dysregulated dopaminergic signaling that contributes to abnormal salience attribution</w:t>
      </w:r>
      <w:r w:rsidR="00F20C97">
        <w:rPr>
          <w:rFonts w:ascii="Helvetica" w:hAnsi="Helvetica" w:cs="Arial"/>
          <w:sz w:val="20"/>
          <w:szCs w:val="20"/>
        </w:rPr>
        <w:fldChar w:fldCharType="begin"/>
      </w:r>
      <w:r w:rsidR="003D0D39">
        <w:rPr>
          <w:rFonts w:ascii="Helvetica" w:hAnsi="Helvetica" w:cs="Arial"/>
          <w:sz w:val="20"/>
          <w:szCs w:val="20"/>
        </w:rPr>
        <w:instrText xml:space="preserve"> ADDIN ZOTERO_ITEM CSL_CITATION {"citationID":"mCSvTVbe","properties":{"formattedCitation":"(23\\uc0\\u8211{}26)","plainCitation":"(23–26)","noteIndex":0},"citationItems":[{"id":341,"uris":["http://zotero.org/users/9264269/items/DZWH2SA5"],"itemData":{"id":341,"type":"article-journal","abstract":"Schizophrenia remains a major burden on patients and society. The dopamine hypothesis attempts to explain the pathogenic mechanisms of the disorder, and the neurodevelopmental hypothesis the origins. In the past 10 years an alternative, the cognitive model, has gained popularity. However, the first two theories have not been satisfactorily integrated, and the most influential iteration of the cognitive model makes no mention of dopamine, neurodevelopment, or indeed the brain. In this Review we show that developmental alterations secondary to variant genes, early hazards to the brain, and childhood adversity sensitise the dopamine system, and result in excessive presynaptic dopamine synthesis and release. Social adversity biases the cognitive schema that the individual uses to interpret experiences towards paranoid interpretations. Subsequent stress results in dysregulated dopamine release, causing the misattribution of salience to stimuli, which are then misinterpreted by the biased cognitive processes. The resulting paranoia and hallucinations in turn cause further stress, and eventually repeated dopamine dysregulation hardwires the psychotic beliefs. Finally, we consider the implications of this model for understanding and treatment of schizophrenia.","container-title":"The Lancet","DOI":"10.1016/S0140-6736(13)62036-X","ISSN":"1474547X","issue":"9929","page":"1677–1687","PMID":"24315522","publisher":"Elsevier Ltd","title":"Schizophrenia: An integrated sociodevelopmental-cognitive model","volume":"383","author":[{"family":"Howes","given":"Oliver D."},{"family":"Murray","given":"Robin M."}],"issued":{"date-parts":[["2014"]]}}},{"id":4913,"uris":["http://zotero.org/users/9264269/items/FV6RPVSJ"],"itemData":{"id":4913,"type":"article-journal","container-title":"Schizophrenia Bulletin","DOI":"10.1093/schbul/sbq031","ISSN":"0586-7614, 1745-1701","issue":"3","language":"en","page":"472-485","publisher":"Oxford University Press (OUP)","source":"Crossref","title":"Dopaminergic Dysfunction in Schizophrenia: Salience Attribution Revisited","title-short":"Dopaminergic Dysfunction in Schizophrenia","volume":"36","author":[{"family":"Heinz","given":"A."},{"family":"Schlagenhauf","given":"F."}],"issued":{"date-parts":[["2010",5,1]]}}},{"id":4915,"uris":["http://zotero.org/users/9264269/items/TDNS4UJE"],"itemData":{"id":4915,"type":"article-journal","container-title":"American Journal of Psychiatry","DOI":"10.1176/appi.ajp.160.1.13","ISSN":"0002-953X, 1535-7228","issue":"1","journalAbbreviation":"AJP","language":"en","page":"13-23","publisher":"American Psychiatric Association Publishing","source":"Crossref","title":"Psychosis as a State of Aberrant Salience: A Framework Linking Biology, Phenomenology, and Pharmacology in Schizophrenia","title-short":"Psychosis as a State of Aberrant Salience","volume":"160","author":[{"family":"Kapur","given":"Shitij"}],"issued":{"date-parts":[["2003",1,1]]}}},{"id":5467,"uris":["http://zotero.org/users/9264269/items/YQZ92K6K"],"itemData":{"id":5467,"type":"article-journal","container-title":"Nature Neuroscience","DOI":"10.1038/nn.2723","ISSN":"1097-6256, 1546-1726","issue":"2","journalAbbreviation":"Nat Neurosci","language":"en","license":"http://www.springer.com/tdm","page":"154-162","source":"DOI.org (Crossref)","title":"From reinforcement learning models to psychiatric and neurological disorders","volume":"14","author":[{"family":"Maia","given":"Tiago V"},{"family":"Frank","given":"Michael J"}],"issued":{"date-parts":[["2011",2]]}}}],"schema":"https://github.com/citation-style-language/schema/raw/master/csl-citation.json"} </w:instrText>
      </w:r>
      <w:r w:rsidR="00F20C97">
        <w:rPr>
          <w:rFonts w:ascii="Helvetica" w:hAnsi="Helvetica" w:cs="Arial"/>
          <w:sz w:val="20"/>
          <w:szCs w:val="20"/>
        </w:rPr>
        <w:fldChar w:fldCharType="separate"/>
      </w:r>
      <w:r w:rsidR="003D0D39" w:rsidRPr="003D0D39">
        <w:rPr>
          <w:rFonts w:ascii="Helvetica" w:hAnsi="Helvetica" w:cs="Times New Roman"/>
          <w:sz w:val="20"/>
        </w:rPr>
        <w:t>(23–26)</w:t>
      </w:r>
      <w:r w:rsidR="00F20C97">
        <w:rPr>
          <w:rFonts w:ascii="Helvetica" w:hAnsi="Helvetica" w:cs="Arial"/>
          <w:sz w:val="20"/>
          <w:szCs w:val="20"/>
        </w:rPr>
        <w:fldChar w:fldCharType="end"/>
      </w:r>
      <w:r w:rsidRPr="00725AA5">
        <w:rPr>
          <w:rFonts w:ascii="Helvetica" w:hAnsi="Helvetica" w:cs="Arial"/>
          <w:sz w:val="20"/>
          <w:szCs w:val="20"/>
        </w:rPr>
        <w:t>. These disturbances have been directly linked to the emergence of positive symptoms, including delusions, which may arise from inappropriate updating of beliefs based on unreliable prediction signals</w:t>
      </w:r>
      <w:r w:rsidR="00556532">
        <w:rPr>
          <w:rFonts w:ascii="Helvetica" w:hAnsi="Helvetica" w:cs="Arial"/>
          <w:sz w:val="20"/>
          <w:szCs w:val="20"/>
        </w:rPr>
        <w:t xml:space="preserve"> </w:t>
      </w:r>
      <w:r w:rsidR="00F20C97">
        <w:rPr>
          <w:rFonts w:ascii="Helvetica" w:hAnsi="Helvetica" w:cs="Arial"/>
          <w:sz w:val="20"/>
          <w:szCs w:val="20"/>
        </w:rPr>
        <w:fldChar w:fldCharType="begin"/>
      </w:r>
      <w:r w:rsidR="003D0D39">
        <w:rPr>
          <w:rFonts w:ascii="Helvetica" w:hAnsi="Helvetica" w:cs="Arial"/>
          <w:sz w:val="20"/>
          <w:szCs w:val="20"/>
        </w:rPr>
        <w:instrText xml:space="preserve"> ADDIN ZOTERO_ITEM CSL_CITATION {"citationID":"D89FKcNp","properties":{"formattedCitation":"(27,28)","plainCitation":"(27,28)","noteIndex":0},"citationItems":[{"id":1472,"uris":["http://zotero.org/users/9264269/items/LYNW6AFR"],"itemData":{"id":1472,"type":"article-journal","container-title":"Brain","DOI":"10.1093/brain/awm173","ISSN":"0006-8950, 1460-2156","issue":"9","journalAbbreviation":"Brain","language":"en","page":"2387-2400","source":"DOI.org (Crossref)","title":"Disrupted prediction-error signal in psychosis: evidence for an associative account of delusions","title-short":"Disrupted prediction-error signal in psychosis","volume":"130","author":[{"family":"Corlett","given":"P.R."},{"family":"Murray","given":"G.K."},{"family":"Honey","given":"G.D."},{"family":"Aitken","given":"M.R.F."},{"family":"Shanks","given":"D.R."},{"family":"Robbins","given":"T.W."},{"family":"Bullmore","given":"E.T."},{"family":"Dickinson","given":"A."},{"family":"Fletcher","given":"P.C."}],"issued":{"date-parts":[["2007",9,1]]}}},{"id":4907,"uris":["http://zotero.org/users/9264269/items/Y85BN47I"],"itemData":{"id":4907,"type":"article-journal","container-title":"Cognitive Neuropsychiatry","DOI":"10.1080/13546805.2014.897601","ISSN":"1354-6805, 1464-0619","issue":"5","language":"en","page":"439-467","publisher":"Informa UK Limited","source":"Crossref","title":"Delusions and prediction error: re-examining the behavioural evidence for disrupted error signalling in delusion formation","title-short":"Delusions and prediction error","volume":"19","author":[{"family":"Griffiths","given":"Oren"},{"family":"Langdon","given":"Robyn"},{"family":"Le Pelley","given":"Mike E."},{"family":"Coltheart","given":"Max"}],"issued":{"date-parts":[["2014",9,3]]}}}],"schema":"https://github.com/citation-style-language/schema/raw/master/csl-citation.json"} </w:instrText>
      </w:r>
      <w:r w:rsidR="00F20C97">
        <w:rPr>
          <w:rFonts w:ascii="Helvetica" w:hAnsi="Helvetica" w:cs="Arial"/>
          <w:sz w:val="20"/>
          <w:szCs w:val="20"/>
        </w:rPr>
        <w:fldChar w:fldCharType="separate"/>
      </w:r>
      <w:r w:rsidR="003D0D39" w:rsidRPr="003D0D39">
        <w:rPr>
          <w:rFonts w:ascii="Helvetica" w:hAnsi="Helvetica"/>
          <w:sz w:val="20"/>
        </w:rPr>
        <w:t>(27,28)</w:t>
      </w:r>
      <w:r w:rsidR="00F20C97">
        <w:rPr>
          <w:rFonts w:ascii="Helvetica" w:hAnsi="Helvetica" w:cs="Arial"/>
          <w:sz w:val="20"/>
          <w:szCs w:val="20"/>
        </w:rPr>
        <w:fldChar w:fldCharType="end"/>
      </w:r>
      <w:r w:rsidR="00556532" w:rsidRPr="0028609C">
        <w:rPr>
          <w:rFonts w:ascii="Helvetica" w:hAnsi="Helvetica" w:cs="Arial"/>
          <w:sz w:val="20"/>
          <w:szCs w:val="20"/>
        </w:rPr>
        <w:t>.</w:t>
      </w:r>
    </w:p>
    <w:p w14:paraId="6CBFFF7A" w14:textId="5180AB08" w:rsidR="00725AA5" w:rsidRPr="00725AA5" w:rsidRDefault="00725AA5" w:rsidP="003D0D39">
      <w:pPr>
        <w:pStyle w:val="BodyText"/>
        <w:spacing w:line="276" w:lineRule="auto"/>
        <w:jc w:val="both"/>
        <w:rPr>
          <w:rFonts w:ascii="Helvetica" w:hAnsi="Helvetica" w:cs="Arial"/>
          <w:sz w:val="20"/>
          <w:szCs w:val="20"/>
        </w:rPr>
      </w:pPr>
      <w:r w:rsidRPr="00725AA5">
        <w:rPr>
          <w:rFonts w:ascii="Helvetica" w:hAnsi="Helvetica" w:cs="Arial"/>
          <w:sz w:val="20"/>
          <w:szCs w:val="20"/>
        </w:rPr>
        <w:t>Importantly, these abnormalities extend beyond canonical reward circuitry. Disruptions in fronto-striatal systems are accompanied by altered connectivity with temporal and extrastriate visual regions, including the fusiform gyrus</w:t>
      </w:r>
      <w:r w:rsidR="00DB232E">
        <w:rPr>
          <w:rFonts w:ascii="Helvetica" w:hAnsi="Helvetica" w:cs="Arial"/>
          <w:sz w:val="20"/>
          <w:szCs w:val="20"/>
        </w:rPr>
        <w:t xml:space="preserve"> </w:t>
      </w:r>
      <w:r w:rsidR="00DB232E">
        <w:rPr>
          <w:rFonts w:ascii="Helvetica" w:hAnsi="Helvetica" w:cs="Arial"/>
          <w:sz w:val="20"/>
          <w:szCs w:val="20"/>
        </w:rPr>
        <w:fldChar w:fldCharType="begin"/>
      </w:r>
      <w:r w:rsidR="003D0D39">
        <w:rPr>
          <w:rFonts w:ascii="Helvetica" w:hAnsi="Helvetica" w:cs="Arial"/>
          <w:sz w:val="20"/>
          <w:szCs w:val="20"/>
        </w:rPr>
        <w:instrText xml:space="preserve"> ADDIN ZOTERO_ITEM CSL_CITATION {"citationID":"5OQB5Xwk","properties":{"formattedCitation":"(16,29)","plainCitation":"(16,29)","noteIndex":0},"citationItems":[{"id":392,"uris":["http://zotero.org/users/9264269/items/62HXSG2Y"],"itemData":{"id":392,"type":"article-journal","abstract":"Social learning is fundamental to human interactions, yet its computational and physiological mechanisms are not well understood. One prominent open question concerns the role of neuromodulatory transmitters. We combined fMRI, computational modelling and genetics to address this question in two separate samples (N1/435, N1/447). Participants played a game requiring inference on an adviser's intentions whose motivation to help or mislead changed over time. Our analyses suggest that hierarchically structured belief updates about current advice validity and the adviser's trustworthiness, respectively, depend on different neuromodulatory systems. Low-level prediction errors (PEs) about advice accuracy not only activated regions known to support 'theory of mind', but also the dopaminergic midbrain. Furthermore, PE responses in ventral striatum were influenced by the Met/Val polymorphismof the Catechol-O-Methyltransferase (COMT) gene. By contrast, high-level PEs ('expected uncertainty') about the adviser's fidelity activated the cholinergic septum. These findings, replicated in both samples, have important implications: They suggest that social learning rests on hierarchically related PEs encoded by midbrain and septum activity, respectively, in the same manner as other forms of learning under volatility. Furthermore, these hierarchical PEs may be broadcast by dopaminergic and cholinergic projections to induce plasticity specifically in cortical areas known to represent beliefs about others.","container-title":"Social Cognitive and Affective Neuroscience","DOI":"10.1093/scan/nsw171","ISSN":"17495024","issue":"4","page":"618–634","PMID":"28119508","title":"Hierarchical prediction errors in midbrain and septum during social learning","volume":"12","author":[{"family":"Diaconescu","given":"Andreea O."},{"family":"Mathys","given":"Christoph"},{"family":"Weber","given":"Lilian A.E."},{"family":"Kasper","given":"Lars"},{"family":"Mauer","given":"Jan"},{"family":"Stephan","given":"Klaas E."}],"issued":{"date-parts":[["2017"]]}}},{"id":5464,"uris":["http://zotero.org/users/9264269/items/BVHTW6PT"],"itemData":{"id":5464,"type":"article-journal","container-title":"NeuroImage","DOI":"10.1016/j.neuroimage.2009.03.033","ISSN":"10538119","issue":"4","journalAbbreviation":"NeuroImage","language":"en","license":"https://www.elsevier.com/tdm/userlicense/1.0/","page":"1180-1186","source":"DOI.org (Crossref)","title":"Understanding why patients with schizophrenia do not perceive the hollow-mask illusion using dynamic causal modelling","volume":"46","author":[{"family":"Dima","given":"Danai"},{"family":"Roiser","given":"Jonathan P."},{"family":"Dietrich","given":"Detlef E."},{"family":"Bonnemann","given":"Catharina"},{"family":"Lanfermann","given":"Heinrich"},{"family":"Emrich","given":"Hinderk M."},{"family":"Dillo","given":"Wolfgang"}],"issued":{"date-parts":[["2009",7]]}}}],"schema":"https://github.com/citation-style-language/schema/raw/master/csl-citation.json"} </w:instrText>
      </w:r>
      <w:r w:rsidR="00DB232E">
        <w:rPr>
          <w:rFonts w:ascii="Helvetica" w:hAnsi="Helvetica" w:cs="Arial"/>
          <w:sz w:val="20"/>
          <w:szCs w:val="20"/>
        </w:rPr>
        <w:fldChar w:fldCharType="separate"/>
      </w:r>
      <w:r w:rsidR="003D0D39" w:rsidRPr="003D0D39">
        <w:rPr>
          <w:rFonts w:ascii="Helvetica" w:hAnsi="Helvetica"/>
          <w:sz w:val="20"/>
        </w:rPr>
        <w:t>(16,29)</w:t>
      </w:r>
      <w:r w:rsidR="00DB232E">
        <w:rPr>
          <w:rFonts w:ascii="Helvetica" w:hAnsi="Helvetica" w:cs="Arial"/>
          <w:sz w:val="20"/>
          <w:szCs w:val="20"/>
        </w:rPr>
        <w:fldChar w:fldCharType="end"/>
      </w:r>
      <w:r w:rsidR="00361EC8">
        <w:rPr>
          <w:rFonts w:ascii="Helvetica" w:hAnsi="Helvetica" w:cs="Arial"/>
          <w:sz w:val="20"/>
          <w:szCs w:val="20"/>
        </w:rPr>
        <w:t>;</w:t>
      </w:r>
      <w:r w:rsidRPr="00725AA5">
        <w:rPr>
          <w:rFonts w:ascii="Helvetica" w:hAnsi="Helvetica" w:cs="Arial"/>
          <w:sz w:val="20"/>
          <w:szCs w:val="20"/>
        </w:rPr>
        <w:t xml:space="preserve"> suggesting that impairments in social learning may also reflect degraded processing of socially relevant sensory information</w:t>
      </w:r>
      <w:r w:rsidR="006F24AF">
        <w:rPr>
          <w:rFonts w:ascii="Helvetica" w:hAnsi="Helvetica" w:cs="Arial"/>
          <w:sz w:val="20"/>
          <w:szCs w:val="20"/>
        </w:rPr>
        <w:t xml:space="preserve"> </w:t>
      </w:r>
      <w:r w:rsidR="00546A47">
        <w:rPr>
          <w:rFonts w:ascii="Helvetica" w:hAnsi="Helvetica" w:cs="Arial"/>
          <w:sz w:val="20"/>
          <w:szCs w:val="20"/>
        </w:rPr>
        <w:fldChar w:fldCharType="begin"/>
      </w:r>
      <w:r w:rsidR="003D0D39">
        <w:rPr>
          <w:rFonts w:ascii="Helvetica" w:hAnsi="Helvetica" w:cs="Arial"/>
          <w:sz w:val="20"/>
          <w:szCs w:val="20"/>
        </w:rPr>
        <w:instrText xml:space="preserve"> ADDIN ZOTERO_ITEM CSL_CITATION {"citationID":"YcxO8fdp","properties":{"formattedCitation":"(20,30)","plainCitation":"(20,30)","noteIndex":0},"citationItems":[{"id":5481,"uris":["http://zotero.org/users/9264269/items/5A3ZTGED"],"itemData":{"id":5481,"type":"chapter","abstract":"Motivational deficits (avolition and anhedonia) have historically been considered important negative symptoms of schizophrenia. Numerous studies have attempted to identify the neural substrates of avolition and anhedonia in schizophrenia, but these studies have not produced much agreement. Deficits in various aspects of reinforcement processing have been observed in individuals with schizophrenia, but it is not exactly clear which of these deficits actually engender motivational impairments in SZ. The purpose of this chapter is to examine how various reinforcement-related behavioral and neural signals could contribute to motivational impairments in both schizophrenia, and psychiatric illness, in general. In particular, we describe different aspects of the concept of expected value (EV), such as the distinction between the EV of stimuli and the expected value of actions, the acquisition of value vs. the estimation of value, and the discounting of value as a consequence of time or effort required. We conclude that avolition and anhedonia in SZ are most commonly tied to aberrant signals for expected value, in the context of learning. We discuss implications for further research on the neural substrates of motivational impairments in psychiatric illness.","container-title":"Behavioral Neuroscience of Motivation","DOI":"10.1007/7854_2015_385","ISBN":"978-3-319-26933-7","language":"en","note":"collection-title: Current Topics in Behavioral Neurosciences","page":"375-410","publisher":"Springer International Publishing","publisher-place":"Cham","source":"DOI.org (Crossref)","title":"Motivational Deficits in Schizophrenia and the Representation of Expected Value","URL":"https://link.springer.com/10.1007/7854_2015_385","volume":"27","editor":[{"family":"Simpson","given":"Eleanor H."},{"family":"Balsam","given":"Peter D."}],"author":[{"family":"Waltz","given":"James A."},{"family":"Gold","given":"James M."}],"accessed":{"date-parts":[["2026",4,11]]},"issued":{"date-parts":[["2015"]]}}},{"id":5482,"uris":["http://zotero.org/users/9264269/items/37S67Y2R"],"itemData":{"id":5482,"type":"article-journal","abstract":"Aberrant social behavior is a frequent clinical feature of schizophrenia and seems related to the duration and chronicity of the disorder. However, there is a paucity of research into the relationship between social behavior and social cognition in patients with severe chronic courses of schizophrenia. Accordingly, the present study sought to examine the appreciation of social rules and norms such as fairness and cooperation in schizophrenia patients who fulﬁlled the criteria for “deﬁcit syndrome”. To this end, we utilized a so-called Ultimatum Game, and a Dictator Game, in which participants had the option to punish others’ unfair behavior. In addition, “theory of mind”, the ability to appreciate others’ mental states, was also examined using the Mental State Attribution Task (MSAT). Symptom severity was determined using the Positive and Negative Syndrome Scale. While patients with deﬁcit schizophrenia responded to varying levels of fairness in similar ways to controls, the patients accepted fewer fair offers and engaged less in third-party punishment. Impaired theory of mind in patients reduced the latter, but not the former, group difference to non-signiﬁcance. No signiﬁcant correlations emerged between symptom severity and task performance. Together, these ﬁndings suggest that the understanding of others’ minds partly contributes to the appreciation of social rules and norms in patients with severe chronic courses of schizophrenia.","container-title":"Frontiers in Psychiatry","DOI":"10.3389/fpsyt.2020.00835","ISSN":"1664-0640","journalAbbreviation":"Front. Psychiatry","language":"en","page":"835","source":"DOI.org (Crossref)","title":"Recognition of Social Rule Violation in “Deficit Syndrome” Schizophrenia: A Study Using Economic Games","title-short":"Recognition of Social Rule Violation in “Deficit Syndrome” Schizophrenia","volume":"11","author":[{"family":"Claassen","given":"Christian"},{"family":"Langdon","given":"Robyn"},{"family":"Brüne","given":"Martin"}],"issued":{"date-parts":[["2020",8,21]]}}}],"schema":"https://github.com/citation-style-language/schema/raw/master/csl-citation.json"} </w:instrText>
      </w:r>
      <w:r w:rsidR="00546A47">
        <w:rPr>
          <w:rFonts w:ascii="Helvetica" w:hAnsi="Helvetica" w:cs="Arial"/>
          <w:sz w:val="20"/>
          <w:szCs w:val="20"/>
        </w:rPr>
        <w:fldChar w:fldCharType="separate"/>
      </w:r>
      <w:r w:rsidR="003D0D39" w:rsidRPr="003D0D39">
        <w:rPr>
          <w:rFonts w:ascii="Helvetica" w:hAnsi="Helvetica"/>
          <w:sz w:val="20"/>
        </w:rPr>
        <w:t>(20,30)</w:t>
      </w:r>
      <w:r w:rsidR="00546A47">
        <w:rPr>
          <w:rFonts w:ascii="Helvetica" w:hAnsi="Helvetica" w:cs="Arial"/>
          <w:sz w:val="20"/>
          <w:szCs w:val="20"/>
        </w:rPr>
        <w:fldChar w:fldCharType="end"/>
      </w:r>
      <w:r w:rsidRPr="00725AA5">
        <w:rPr>
          <w:rFonts w:ascii="Helvetica" w:hAnsi="Helvetica" w:cs="Arial"/>
          <w:sz w:val="20"/>
          <w:szCs w:val="20"/>
        </w:rPr>
        <w:t>. From a predictive coding perspective, such deficits may arise from impaired precision-weighting of incoming sensory signals, leading to unreliable integration of external feedback and increased reliance on internally generated beliefs</w:t>
      </w:r>
      <w:r w:rsidR="003D0D39">
        <w:rPr>
          <w:rFonts w:ascii="Helvetica" w:hAnsi="Helvetica" w:cs="Arial"/>
          <w:sz w:val="20"/>
          <w:szCs w:val="20"/>
        </w:rPr>
        <w:fldChar w:fldCharType="begin"/>
      </w:r>
      <w:r w:rsidR="003D0D39">
        <w:rPr>
          <w:rFonts w:ascii="Helvetica" w:hAnsi="Helvetica" w:cs="Arial"/>
          <w:sz w:val="20"/>
          <w:szCs w:val="20"/>
        </w:rPr>
        <w:instrText xml:space="preserve"> ADDIN ZOTERO_ITEM CSL_CITATION {"citationID":"N509pmbr","properties":{"formattedCitation":"(31)","plainCitation":"(31)","noteIndex":0},"citationItems":[{"id":343,"uris":["http://zotero.org/users/9264269/items/LVRG96LT"],"itemData":{"id":343,"type":"article-journal","abstract":"This paper considers psychotic symptoms in terms of false inferences or beliefs. It is based on the notion that the brain is an inference machine that actively constructs hypotheses to explain or predict its sensations. This perspective provides a normative (Bayes-optimal) account of action and perception that emphasizes probabilistic representations; in particular, the confidence or precision of beliefs about the world. We will consider hallucinosis, abnormal eye movements, sensory attenuation deficits, catatonia, and delusions as various expressions of the same core pathology: namely, an aberrant encoding of precision. From a cognitive perspective, this represents a pernicious failure of metacognition (beliefs about beliefs) that can confound perceptual inference. In the embodied setting of active (Bayesian) inference, it can lead to behaviors that are paradoxically more accurate than Bayes-optimal behavior. Crucially, this normative account is accompanied by a neuronally plausible process theory based upon hierarchical predictive coding. In predictive coding, precision is thought to be encoded by the post-synaptic gain of neurons reporting prediction error. This suggests that both pervasive trait abnormalities and florid failures of inference in the psychotic state can be linked to factors controlling post-synaptic gain - such as NMDA receptor function and (dopaminergic) neuromodulation. We illustrate these points using biologically plausible simulations of perceptual synthesis, smooth pursuit eye movements and attribution of agency - that all use the same predictive coding scheme and pathology: namely, a reduction in the precision of prior beliefs, relative to sensory evidence.","container-title":"Frontiers in Psychiatry","DOI":"10.3389/fpsyt.2013.00047","ISSN":"1664-0640","issue":"May","page":"1–26","title":"The Computational Anatomy of Psychosis","volume":"4","author":[{"family":"Adams","given":"Rick A."},{"family":"Stephan","given":"Klaas Enno"},{"family":"Brown","given":"Harriet R."},{"family":"Frith","given":"Christopher D."},{"family":"Friston","given":"Karl J."}],"issued":{"date-parts":[["2013"]]}}}],"schema":"https://github.com/citation-style-language/schema/raw/master/csl-citation.json"} </w:instrText>
      </w:r>
      <w:r w:rsidR="003D0D39">
        <w:rPr>
          <w:rFonts w:ascii="Helvetica" w:hAnsi="Helvetica" w:cs="Arial"/>
          <w:sz w:val="20"/>
          <w:szCs w:val="20"/>
        </w:rPr>
        <w:fldChar w:fldCharType="separate"/>
      </w:r>
      <w:r w:rsidR="003D0D39" w:rsidRPr="003D0D39">
        <w:rPr>
          <w:rFonts w:ascii="Helvetica" w:hAnsi="Helvetica"/>
          <w:sz w:val="20"/>
        </w:rPr>
        <w:t>(31)</w:t>
      </w:r>
      <w:r w:rsidR="003D0D39">
        <w:rPr>
          <w:rFonts w:ascii="Helvetica" w:hAnsi="Helvetica" w:cs="Arial"/>
          <w:sz w:val="20"/>
          <w:szCs w:val="20"/>
        </w:rPr>
        <w:fldChar w:fldCharType="end"/>
      </w:r>
      <w:r w:rsidRPr="00725AA5">
        <w:rPr>
          <w:rFonts w:ascii="Helvetica" w:hAnsi="Helvetica" w:cs="Arial"/>
          <w:sz w:val="20"/>
          <w:szCs w:val="20"/>
        </w:rPr>
        <w:t>. This framework provides a unifying account linking aberrant neural signaling, computational imprecision, and clinical symptomatology in SZ.</w:t>
      </w:r>
    </w:p>
    <w:p w14:paraId="5A82CF60" w14:textId="4074FBD5" w:rsidR="00244717" w:rsidRPr="002041B3" w:rsidRDefault="00725AA5" w:rsidP="003D0D39">
      <w:pPr>
        <w:pStyle w:val="BodyText"/>
        <w:spacing w:line="276" w:lineRule="auto"/>
        <w:jc w:val="both"/>
        <w:rPr>
          <w:rFonts w:ascii="Helvetica" w:hAnsi="Helvetica" w:cs="Arial"/>
          <w:sz w:val="20"/>
          <w:szCs w:val="20"/>
        </w:rPr>
      </w:pPr>
      <w:r w:rsidRPr="00725AA5">
        <w:rPr>
          <w:rFonts w:ascii="Helvetica" w:hAnsi="Helvetica" w:cs="Arial"/>
          <w:sz w:val="20"/>
          <w:szCs w:val="20"/>
        </w:rPr>
        <w:t>Despite these advances, the specific computational and neural mechanisms underlying social reinforcement learning in schizophrenia remain incompletely understood, particularly in ecologically valid interactive contexts. To address this gap, we employed an iterative Trust Game combined with functional magnetic resonance imaging (fMRI) and computational modeling. We hypothesized that individuals with SZ would exhibit impaired utilization of positive social feedback, reflected in reduced learning rates and/or increased decision stochasticity, alongside blunted neural encoding of prediction errors within fronto-striatal and occipito-temporal networks. Furthermore, we predicted that these computational abnormalities would be associated with positive symptom severity, providing a mechanistic link between disrupted social learning and the phenomenology of psychosis.</w:t>
      </w:r>
    </w:p>
    <w:p w14:paraId="51A6DCA5" w14:textId="031C07E0" w:rsidR="00FA4832" w:rsidRPr="009D1BC4" w:rsidRDefault="00FA4832" w:rsidP="009D1BC4">
      <w:pPr>
        <w:pStyle w:val="Duz1"/>
        <w:numPr>
          <w:ilvl w:val="0"/>
          <w:numId w:val="3"/>
        </w:numPr>
        <w:jc w:val="both"/>
        <w:rPr>
          <w:rFonts w:ascii="Helvetica" w:hAnsi="Helvetica"/>
          <w:sz w:val="20"/>
          <w:szCs w:val="20"/>
        </w:rPr>
      </w:pPr>
      <w:r w:rsidRPr="009D1BC4">
        <w:rPr>
          <w:rFonts w:ascii="Helvetica" w:hAnsi="Helvetica"/>
          <w:sz w:val="20"/>
          <w:szCs w:val="20"/>
        </w:rPr>
        <w:lastRenderedPageBreak/>
        <w:t>Methods</w:t>
      </w:r>
    </w:p>
    <w:p w14:paraId="096B9750" w14:textId="4B01594D" w:rsidR="00FA4832" w:rsidRPr="009D1BC4" w:rsidRDefault="00FA4832" w:rsidP="009D1BC4">
      <w:pPr>
        <w:pStyle w:val="Duz2"/>
        <w:jc w:val="both"/>
        <w:rPr>
          <w:rFonts w:ascii="Helvetica" w:hAnsi="Helvetica"/>
          <w:bCs/>
          <w:sz w:val="20"/>
          <w:szCs w:val="20"/>
        </w:rPr>
      </w:pPr>
      <w:r w:rsidRPr="009D1BC4">
        <w:rPr>
          <w:rFonts w:ascii="Helvetica" w:hAnsi="Helvetica"/>
          <w:bCs/>
          <w:sz w:val="20"/>
          <w:szCs w:val="20"/>
        </w:rPr>
        <w:t>2.1</w:t>
      </w:r>
      <w:r w:rsidR="0057150A" w:rsidRPr="009D1BC4">
        <w:rPr>
          <w:rFonts w:ascii="Helvetica" w:hAnsi="Helvetica"/>
          <w:bCs/>
          <w:sz w:val="20"/>
          <w:szCs w:val="20"/>
        </w:rPr>
        <w:t xml:space="preserve"> </w:t>
      </w:r>
      <w:r w:rsidRPr="009D1BC4">
        <w:rPr>
          <w:rFonts w:ascii="Helvetica" w:hAnsi="Helvetica"/>
          <w:bCs/>
          <w:sz w:val="20"/>
          <w:szCs w:val="20"/>
        </w:rPr>
        <w:t>Participants</w:t>
      </w:r>
    </w:p>
    <w:p w14:paraId="640C328E" w14:textId="31105B26" w:rsidR="00DC2C35" w:rsidRPr="009D1BC4" w:rsidRDefault="00DC2C35" w:rsidP="00FB3245">
      <w:pPr>
        <w:jc w:val="both"/>
        <w:rPr>
          <w:rFonts w:ascii="Helvetica" w:eastAsia="Times New Roman" w:hAnsi="Helvetica"/>
          <w:color w:val="0E0E0E"/>
          <w:sz w:val="20"/>
          <w:szCs w:val="20"/>
        </w:rPr>
      </w:pPr>
      <w:r w:rsidRPr="00DC2C35">
        <w:rPr>
          <w:rFonts w:ascii="Helvetica" w:eastAsia="Times New Roman" w:hAnsi="Helvetica"/>
          <w:color w:val="0E0E0E"/>
          <w:sz w:val="20"/>
          <w:szCs w:val="20"/>
        </w:rPr>
        <w:t xml:space="preserve">Twenty-nine clinically stable, right-handed individuals with </w:t>
      </w:r>
      <w:r w:rsidR="00D52FD2" w:rsidRPr="00DC2C35">
        <w:rPr>
          <w:rFonts w:ascii="Helvetica" w:eastAsia="Times New Roman" w:hAnsi="Helvetica"/>
          <w:color w:val="0E0E0E"/>
          <w:sz w:val="20"/>
          <w:szCs w:val="20"/>
        </w:rPr>
        <w:t>schizophrenia</w:t>
      </w:r>
      <w:r w:rsidR="00D52FD2">
        <w:rPr>
          <w:rFonts w:ascii="Helvetica" w:eastAsia="Times New Roman" w:hAnsi="Helvetica"/>
          <w:color w:val="0E0E0E"/>
          <w:sz w:val="20"/>
          <w:szCs w:val="20"/>
        </w:rPr>
        <w:t xml:space="preserve"> </w:t>
      </w:r>
      <w:r w:rsidR="00D52FD2" w:rsidRPr="00DC2C35">
        <w:rPr>
          <w:rFonts w:ascii="Helvetica" w:eastAsia="Times New Roman" w:hAnsi="Helvetica"/>
          <w:color w:val="0E0E0E"/>
          <w:sz w:val="20"/>
          <w:szCs w:val="20"/>
        </w:rPr>
        <w:t>(</w:t>
      </w:r>
      <w:r w:rsidR="00D52FD2">
        <w:rPr>
          <w:rFonts w:ascii="Helvetica" w:eastAsia="Times New Roman" w:hAnsi="Helvetica"/>
          <w:color w:val="0E0E0E"/>
          <w:sz w:val="20"/>
          <w:szCs w:val="20"/>
        </w:rPr>
        <w:t xml:space="preserve">SZ, </w:t>
      </w:r>
      <w:r w:rsidRPr="0092387D">
        <w:rPr>
          <w:rFonts w:ascii="Helvetica" w:eastAsia="Times New Roman" w:hAnsi="Helvetica"/>
          <w:color w:val="0E0E0E"/>
          <w:sz w:val="20"/>
          <w:szCs w:val="20"/>
        </w:rPr>
        <w:t xml:space="preserve">mean age ± SD: </w:t>
      </w:r>
      <w:r w:rsidR="003961DF" w:rsidRPr="0092387D">
        <w:rPr>
          <w:rFonts w:ascii="Helvetica" w:eastAsia="Times New Roman" w:hAnsi="Helvetica"/>
          <w:color w:val="0E0E0E"/>
          <w:sz w:val="20"/>
          <w:szCs w:val="20"/>
        </w:rPr>
        <w:t>39.86</w:t>
      </w:r>
      <w:r w:rsidRPr="0092387D">
        <w:rPr>
          <w:rFonts w:ascii="Helvetica" w:eastAsia="Times New Roman" w:hAnsi="Helvetica"/>
          <w:color w:val="0E0E0E"/>
          <w:sz w:val="20"/>
          <w:szCs w:val="20"/>
        </w:rPr>
        <w:t xml:space="preserve"> ± </w:t>
      </w:r>
      <w:r w:rsidR="003961DF" w:rsidRPr="0092387D">
        <w:rPr>
          <w:rFonts w:ascii="Helvetica" w:eastAsia="Times New Roman" w:hAnsi="Helvetica"/>
          <w:color w:val="0E0E0E"/>
          <w:sz w:val="20"/>
          <w:szCs w:val="20"/>
        </w:rPr>
        <w:t>11.03</w:t>
      </w:r>
      <w:r w:rsidRPr="0092387D">
        <w:rPr>
          <w:rFonts w:ascii="Helvetica" w:eastAsia="Times New Roman" w:hAnsi="Helvetica"/>
          <w:color w:val="0E0E0E"/>
          <w:sz w:val="20"/>
          <w:szCs w:val="20"/>
        </w:rPr>
        <w:t xml:space="preserve"> years</w:t>
      </w:r>
      <w:r w:rsidRPr="00DC2C35">
        <w:rPr>
          <w:rFonts w:ascii="Helvetica" w:eastAsia="Times New Roman" w:hAnsi="Helvetica"/>
          <w:color w:val="0E0E0E"/>
          <w:sz w:val="20"/>
          <w:szCs w:val="20"/>
        </w:rPr>
        <w:t xml:space="preserve">) were recruited from the Ege University Department of Psychiatry outpatient clinic. All </w:t>
      </w:r>
      <w:r w:rsidR="00D52FD2">
        <w:rPr>
          <w:rFonts w:ascii="Helvetica" w:eastAsia="Times New Roman" w:hAnsi="Helvetica"/>
          <w:color w:val="0E0E0E"/>
          <w:sz w:val="20"/>
          <w:szCs w:val="20"/>
        </w:rPr>
        <w:t xml:space="preserve">SZ </w:t>
      </w:r>
      <w:r w:rsidRPr="00DC2C35">
        <w:rPr>
          <w:rFonts w:ascii="Helvetica" w:eastAsia="Times New Roman" w:hAnsi="Helvetica"/>
          <w:color w:val="0E0E0E"/>
          <w:sz w:val="20"/>
          <w:szCs w:val="20"/>
        </w:rPr>
        <w:t xml:space="preserve">participants had been on a stable pharmacological regimen for at least six months prior to enrollment, with no changes in treatment during this period. </w:t>
      </w:r>
      <w:r w:rsidR="00DF07AD" w:rsidRPr="00DF07AD">
        <w:rPr>
          <w:rFonts w:ascii="Helvetica" w:eastAsia="Times New Roman" w:hAnsi="Helvetica"/>
          <w:color w:val="0E0E0E"/>
          <w:sz w:val="20"/>
          <w:szCs w:val="20"/>
        </w:rPr>
        <w:t>A total of 49 right-handed healthy controls</w:t>
      </w:r>
      <w:r w:rsidR="00DF07AD">
        <w:rPr>
          <w:rFonts w:ascii="Helvetica" w:eastAsia="Times New Roman" w:hAnsi="Helvetica"/>
          <w:color w:val="0E0E0E"/>
          <w:sz w:val="20"/>
          <w:szCs w:val="20"/>
        </w:rPr>
        <w:t xml:space="preserve"> (HC)</w:t>
      </w:r>
      <w:r w:rsidR="00DF07AD" w:rsidRPr="00DF07AD">
        <w:rPr>
          <w:rFonts w:ascii="Helvetica" w:eastAsia="Times New Roman" w:hAnsi="Helvetica"/>
          <w:color w:val="0E0E0E"/>
          <w:sz w:val="20"/>
          <w:szCs w:val="20"/>
        </w:rPr>
        <w:t>, matched for age, sex, and education, were recruited via advertisements and social media platforms.</w:t>
      </w:r>
      <w:r w:rsidR="00B9002A">
        <w:rPr>
          <w:rFonts w:ascii="Helvetica" w:eastAsia="Times New Roman" w:hAnsi="Helvetica"/>
          <w:color w:val="0E0E0E"/>
          <w:sz w:val="20"/>
          <w:szCs w:val="20"/>
        </w:rPr>
        <w:t xml:space="preserve"> </w:t>
      </w:r>
      <w:r w:rsidRPr="00DC2C35">
        <w:rPr>
          <w:rFonts w:ascii="Helvetica" w:eastAsia="Times New Roman" w:hAnsi="Helvetica"/>
          <w:color w:val="0E0E0E"/>
          <w:sz w:val="20"/>
          <w:szCs w:val="20"/>
        </w:rPr>
        <w:t>The study was conducted in accordance with the Declaration of Helsinki, and all participants provided written informed consent.</w:t>
      </w:r>
    </w:p>
    <w:p w14:paraId="19286A93" w14:textId="77777777" w:rsidR="00FA4832" w:rsidRPr="009D1BC4" w:rsidRDefault="00FA4832" w:rsidP="00FB3245">
      <w:pPr>
        <w:jc w:val="both"/>
        <w:rPr>
          <w:rFonts w:ascii="Helvetica" w:eastAsia="Times New Roman" w:hAnsi="Helvetica"/>
          <w:color w:val="0E0E0E"/>
          <w:sz w:val="20"/>
          <w:szCs w:val="20"/>
        </w:rPr>
      </w:pPr>
    </w:p>
    <w:p w14:paraId="4FCC22B7" w14:textId="2EB40485" w:rsidR="00FA4832" w:rsidRPr="00154990" w:rsidRDefault="00FA4832" w:rsidP="00FB3245">
      <w:pPr>
        <w:jc w:val="both"/>
        <w:rPr>
          <w:rFonts w:ascii="Helvetica" w:eastAsia="Times New Roman" w:hAnsi="Helvetica"/>
          <w:color w:val="0E0E0E"/>
          <w:sz w:val="20"/>
          <w:szCs w:val="20"/>
        </w:rPr>
      </w:pPr>
      <w:r w:rsidRPr="009D1BC4">
        <w:rPr>
          <w:rFonts w:ascii="Helvetica" w:eastAsia="Times New Roman" w:hAnsi="Helvetica"/>
          <w:color w:val="0E0E0E"/>
          <w:sz w:val="20"/>
          <w:szCs w:val="20"/>
        </w:rPr>
        <w:t xml:space="preserve">Patients with current depressive episodes, substance use disorders, or significant medical </w:t>
      </w:r>
      <w:r w:rsidR="00FB3245">
        <w:rPr>
          <w:rFonts w:ascii="Helvetica" w:eastAsia="Times New Roman" w:hAnsi="Helvetica"/>
          <w:color w:val="0E0E0E"/>
          <w:sz w:val="20"/>
          <w:szCs w:val="20"/>
        </w:rPr>
        <w:t xml:space="preserve">comorbid </w:t>
      </w:r>
      <w:r w:rsidRPr="00154990">
        <w:rPr>
          <w:rFonts w:ascii="Helvetica" w:eastAsia="Times New Roman" w:hAnsi="Helvetica"/>
          <w:color w:val="0E0E0E"/>
          <w:sz w:val="20"/>
          <w:szCs w:val="20"/>
        </w:rPr>
        <w:t>conditions affecting cerebral blood flow such as diabetes, hypertension and morbid obesity were excluded. Healthy controls were recruited through community advertisements and had no history of psychiatric disorders and no family history of schizophrenia. Demographic characteristics of all participants are presented in Table 1.</w:t>
      </w:r>
      <w:r w:rsidR="00FF658E" w:rsidRPr="00154990">
        <w:rPr>
          <w:rFonts w:ascii="Helvetica" w:hAnsi="Helvetica"/>
          <w:sz w:val="20"/>
          <w:szCs w:val="20"/>
        </w:rPr>
        <w:t xml:space="preserve"> </w:t>
      </w:r>
      <w:r w:rsidR="00FF658E" w:rsidRPr="00154990">
        <w:rPr>
          <w:rFonts w:ascii="Helvetica" w:eastAsia="Times New Roman" w:hAnsi="Helvetica"/>
          <w:color w:val="0E0E0E"/>
          <w:sz w:val="20"/>
          <w:szCs w:val="20"/>
        </w:rPr>
        <w:t>Four SZ subjects</w:t>
      </w:r>
      <w:r w:rsidR="00EC43F2">
        <w:rPr>
          <w:rFonts w:ascii="Helvetica" w:eastAsia="Times New Roman" w:hAnsi="Helvetica"/>
          <w:color w:val="0E0E0E"/>
          <w:sz w:val="20"/>
          <w:szCs w:val="20"/>
        </w:rPr>
        <w:t xml:space="preserve"> </w:t>
      </w:r>
      <w:r w:rsidR="00FF658E" w:rsidRPr="00154990">
        <w:rPr>
          <w:rFonts w:ascii="Helvetica" w:eastAsia="Times New Roman" w:hAnsi="Helvetica"/>
          <w:color w:val="0E0E0E"/>
          <w:sz w:val="20"/>
          <w:szCs w:val="20"/>
        </w:rPr>
        <w:t>were excluded due to excessive head motion (&gt;0.3 mm) in more than 20% of all TRs</w:t>
      </w:r>
      <w:r w:rsidR="00884AAE" w:rsidRPr="00154990">
        <w:rPr>
          <w:rFonts w:ascii="Helvetica" w:eastAsia="Times New Roman" w:hAnsi="Helvetica"/>
          <w:color w:val="0E0E0E"/>
          <w:sz w:val="20"/>
          <w:szCs w:val="20"/>
        </w:rPr>
        <w:t>.</w:t>
      </w:r>
    </w:p>
    <w:p w14:paraId="655C9BAC" w14:textId="77777777" w:rsidR="00FA4832" w:rsidRPr="009D1BC4" w:rsidRDefault="00FA4832" w:rsidP="009D1BC4">
      <w:pPr>
        <w:pStyle w:val="Duz2"/>
        <w:jc w:val="both"/>
        <w:rPr>
          <w:rFonts w:ascii="Helvetica" w:eastAsia="Times New Roman" w:hAnsi="Helvetica"/>
          <w:bCs/>
          <w:sz w:val="20"/>
          <w:szCs w:val="20"/>
        </w:rPr>
      </w:pPr>
      <w:r w:rsidRPr="009D1BC4">
        <w:rPr>
          <w:rFonts w:ascii="Helvetica" w:eastAsia="Times New Roman" w:hAnsi="Helvetica"/>
          <w:bCs/>
          <w:sz w:val="20"/>
          <w:szCs w:val="20"/>
        </w:rPr>
        <w:t>2.2 Psychometric Assessment</w:t>
      </w:r>
    </w:p>
    <w:p w14:paraId="5D5700A1" w14:textId="3516C896" w:rsidR="00FA4832" w:rsidRPr="009D1BC4" w:rsidRDefault="00FA4832" w:rsidP="00FB3245">
      <w:pPr>
        <w:jc w:val="both"/>
        <w:rPr>
          <w:rFonts w:ascii="Helvetica" w:hAnsi="Helvetica"/>
          <w:sz w:val="20"/>
          <w:szCs w:val="20"/>
          <w:u w:val="single"/>
        </w:rPr>
      </w:pPr>
      <w:r w:rsidRPr="009D1BC4">
        <w:rPr>
          <w:rFonts w:ascii="Helvetica" w:hAnsi="Helvetica"/>
          <w:color w:val="0E0E0E"/>
          <w:sz w:val="20"/>
          <w:szCs w:val="20"/>
        </w:rPr>
        <w:t xml:space="preserve">Schizophrenia diagnoses were confirmed by using the Structured Clinical Interview for DSM-5 (SCID-5). The Positive and Negative Syndrome Symptom Scale (PANSS), a semi-structured assessment, was administered to evaluate symptom </w:t>
      </w:r>
      <w:r w:rsidR="00485103" w:rsidRPr="009D1BC4">
        <w:rPr>
          <w:rFonts w:ascii="Helvetica" w:hAnsi="Helvetica"/>
          <w:color w:val="0E0E0E"/>
          <w:sz w:val="20"/>
          <w:szCs w:val="20"/>
        </w:rPr>
        <w:t>severity</w:t>
      </w:r>
      <w:r w:rsidRPr="009D1BC4">
        <w:rPr>
          <w:rFonts w:ascii="Helvetica" w:hAnsi="Helvetica"/>
          <w:color w:val="0E0E0E"/>
          <w:sz w:val="20"/>
          <w:szCs w:val="20"/>
        </w:rPr>
        <w:t xml:space="preserve"> and patient functionality. Cognitive and social functioning were evaluated with the Schizophrenia Cognition Rating Scale (SCoRS)</w:t>
      </w:r>
      <w:r w:rsidR="00D4574C" w:rsidRPr="009D1BC4">
        <w:rPr>
          <w:rFonts w:ascii="Helvetica" w:hAnsi="Helvetica"/>
          <w:color w:val="0E0E0E"/>
          <w:sz w:val="20"/>
          <w:szCs w:val="20"/>
        </w:rPr>
        <w:t xml:space="preserve">. </w:t>
      </w:r>
      <w:r w:rsidR="00737E23" w:rsidRPr="00737E23">
        <w:rPr>
          <w:rFonts w:ascii="Helvetica" w:hAnsi="Helvetica"/>
          <w:color w:val="0E0E0E"/>
          <w:sz w:val="20"/>
          <w:szCs w:val="20"/>
        </w:rPr>
        <w:t>Healthy controls (HC) were similarly evaluated using the SCID-5 to rule out any current or lifetime psychiatric diagnose</w:t>
      </w:r>
    </w:p>
    <w:p w14:paraId="6DC006C3" w14:textId="2960EF12" w:rsidR="00FA4832" w:rsidRPr="009D1BC4" w:rsidRDefault="00FA4832" w:rsidP="009D1BC4">
      <w:pPr>
        <w:pStyle w:val="Duz2"/>
        <w:jc w:val="both"/>
        <w:rPr>
          <w:rFonts w:ascii="Helvetica" w:hAnsi="Helvetica"/>
          <w:bCs/>
          <w:sz w:val="20"/>
          <w:szCs w:val="20"/>
        </w:rPr>
      </w:pPr>
      <w:r w:rsidRPr="009D1BC4">
        <w:rPr>
          <w:rFonts w:ascii="Helvetica" w:hAnsi="Helvetica"/>
          <w:bCs/>
          <w:sz w:val="20"/>
          <w:szCs w:val="20"/>
        </w:rPr>
        <w:t>2.3</w:t>
      </w:r>
      <w:r w:rsidR="00935BC7" w:rsidRPr="009D1BC4">
        <w:rPr>
          <w:rFonts w:ascii="Helvetica" w:hAnsi="Helvetica"/>
          <w:bCs/>
          <w:sz w:val="20"/>
          <w:szCs w:val="20"/>
        </w:rPr>
        <w:t xml:space="preserve"> </w:t>
      </w:r>
      <w:r w:rsidRPr="009D1BC4">
        <w:rPr>
          <w:rFonts w:ascii="Helvetica" w:hAnsi="Helvetica"/>
          <w:bCs/>
          <w:sz w:val="20"/>
          <w:szCs w:val="20"/>
        </w:rPr>
        <w:t>Task Paradigm</w:t>
      </w:r>
    </w:p>
    <w:p w14:paraId="45E7A31B" w14:textId="5F0319D6" w:rsidR="00035E4B" w:rsidRPr="00B9002A" w:rsidRDefault="00035E4B" w:rsidP="00FB3245">
      <w:pPr>
        <w:jc w:val="both"/>
        <w:rPr>
          <w:rFonts w:ascii="Helvetica" w:hAnsi="Helvetica"/>
          <w:sz w:val="20"/>
          <w:szCs w:val="20"/>
        </w:rPr>
      </w:pPr>
      <w:r w:rsidRPr="009D1BC4">
        <w:rPr>
          <w:rFonts w:ascii="Helvetica" w:hAnsi="Helvetica"/>
          <w:sz w:val="20"/>
          <w:szCs w:val="20"/>
        </w:rPr>
        <w:t xml:space="preserve">Participants completed 60 trials of an iterative Trust Game </w:t>
      </w:r>
      <w:r w:rsidRPr="009D1BC4">
        <w:rPr>
          <w:rFonts w:ascii="Helvetica" w:hAnsi="Helvetica"/>
          <w:sz w:val="20"/>
          <w:szCs w:val="20"/>
        </w:rPr>
        <w:fldChar w:fldCharType="begin"/>
      </w:r>
      <w:r w:rsidR="00546A47">
        <w:rPr>
          <w:rFonts w:ascii="Helvetica" w:hAnsi="Helvetica"/>
          <w:sz w:val="20"/>
          <w:szCs w:val="20"/>
        </w:rPr>
        <w:instrText xml:space="preserve"> ADDIN ZOTERO_ITEM CSL_CITATION {"citationID":"0JkQgZSp","properties":{"formattedCitation":"(32)","plainCitation":"(32)","noteIndex":0},"citationItems":[{"id":4801,"uris":["http://zotero.org/users/9264269/items/KD24Q68P"],"itemData":{"id":4801,"type":"article-journal","container-title":"Frontiers in Neuroscience","DOI":"10.3389/fnins.2019.00887","ISSN":"1662-453X","journalAbbreviation":"Front. Neurosci.","page":"887","source":"DOI.org (Crossref)","title":"Trust Games and Beyond","volume":"13","author":[{"family":"Alós-Ferrer","given":"Carlos"},{"family":"Farolfi","given":"Federica"}],"issued":{"date-parts":[["2019",9,10]]}}}],"schema":"https://github.com/citation-style-language/schema/raw/master/csl-citation.json"} </w:instrText>
      </w:r>
      <w:r w:rsidRPr="009D1BC4">
        <w:rPr>
          <w:rFonts w:ascii="Helvetica" w:hAnsi="Helvetica"/>
          <w:sz w:val="20"/>
          <w:szCs w:val="20"/>
        </w:rPr>
        <w:fldChar w:fldCharType="separate"/>
      </w:r>
      <w:r w:rsidR="00546A47" w:rsidRPr="00546A47">
        <w:rPr>
          <w:rFonts w:ascii="Helvetica" w:hAnsi="Helvetica"/>
          <w:sz w:val="20"/>
        </w:rPr>
        <w:t>(32)</w:t>
      </w:r>
      <w:r w:rsidRPr="009D1BC4">
        <w:rPr>
          <w:rFonts w:ascii="Helvetica" w:hAnsi="Helvetica"/>
          <w:sz w:val="20"/>
          <w:szCs w:val="20"/>
        </w:rPr>
        <w:fldChar w:fldCharType="end"/>
      </w:r>
      <w:r w:rsidRPr="00B9002A">
        <w:rPr>
          <w:rFonts w:ascii="Helvetica" w:hAnsi="Helvetica"/>
          <w:sz w:val="20"/>
          <w:szCs w:val="20"/>
        </w:rPr>
        <w:t xml:space="preserve"> during fMRI. To enhance ecological validity, participants briefly met the "trustee" prior to scanning, though the trustee’s reciprocal or deceptive responses were preprogrammed.</w:t>
      </w:r>
    </w:p>
    <w:p w14:paraId="62691ED2" w14:textId="77777777" w:rsidR="00035E4B" w:rsidRPr="00B9002A" w:rsidRDefault="00035E4B" w:rsidP="00FB3245">
      <w:pPr>
        <w:jc w:val="both"/>
        <w:rPr>
          <w:rFonts w:ascii="Helvetica" w:hAnsi="Helvetica"/>
          <w:sz w:val="20"/>
          <w:szCs w:val="20"/>
        </w:rPr>
      </w:pPr>
    </w:p>
    <w:p w14:paraId="75D03A39" w14:textId="221C1886" w:rsidR="00035E4B" w:rsidRPr="009D1BC4" w:rsidRDefault="00035E4B" w:rsidP="00FB3245">
      <w:pPr>
        <w:jc w:val="both"/>
        <w:rPr>
          <w:rFonts w:ascii="Helvetica" w:hAnsi="Helvetica"/>
          <w:sz w:val="20"/>
          <w:szCs w:val="20"/>
        </w:rPr>
      </w:pPr>
      <w:r w:rsidRPr="00B9002A">
        <w:rPr>
          <w:rFonts w:ascii="Helvetica" w:hAnsi="Helvetica"/>
          <w:sz w:val="20"/>
          <w:szCs w:val="20"/>
        </w:rPr>
        <w:t xml:space="preserve">On each trial, participants received 40 Turkish Lira (TL) </w:t>
      </w:r>
      <w:r w:rsidR="00DC2C35" w:rsidRPr="00B9002A">
        <w:rPr>
          <w:rFonts w:ascii="Helvetica" w:hAnsi="Helvetica"/>
          <w:sz w:val="20"/>
          <w:szCs w:val="20"/>
        </w:rPr>
        <w:t>(~</w:t>
      </w:r>
      <w:r w:rsidR="007D7026" w:rsidRPr="00B9002A">
        <w:rPr>
          <w:rFonts w:ascii="Helvetica" w:hAnsi="Helvetica"/>
          <w:sz w:val="20"/>
          <w:szCs w:val="20"/>
        </w:rPr>
        <w:t xml:space="preserve">1 </w:t>
      </w:r>
      <w:r w:rsidR="00DC2C35" w:rsidRPr="00B9002A">
        <w:rPr>
          <w:rFonts w:ascii="Helvetica" w:hAnsi="Helvetica"/>
          <w:sz w:val="20"/>
          <w:szCs w:val="20"/>
        </w:rPr>
        <w:t>USD at the time of study)</w:t>
      </w:r>
      <w:r w:rsidR="00DC2C35">
        <w:rPr>
          <w:rFonts w:ascii="Helvetica" w:hAnsi="Helvetica"/>
          <w:sz w:val="20"/>
          <w:szCs w:val="20"/>
        </w:rPr>
        <w:t xml:space="preserve"> </w:t>
      </w:r>
      <w:r w:rsidRPr="009D1BC4">
        <w:rPr>
          <w:rFonts w:ascii="Helvetica" w:hAnsi="Helvetica"/>
          <w:sz w:val="20"/>
          <w:szCs w:val="20"/>
        </w:rPr>
        <w:t>and chose to either "keep" or "invest." Keeping the money resulted in an even split (20 TL each). Investing tripled the endowment (120 TL), allowing the trustee to either share the money equally or keep the entire amount</w:t>
      </w:r>
      <w:r w:rsidR="0084086D" w:rsidRPr="009D1BC4">
        <w:rPr>
          <w:rFonts w:ascii="Helvetica" w:hAnsi="Helvetica"/>
          <w:sz w:val="20"/>
          <w:szCs w:val="20"/>
        </w:rPr>
        <w:t xml:space="preserve"> (see Figure 1)</w:t>
      </w:r>
      <w:r w:rsidRPr="009D1BC4">
        <w:rPr>
          <w:rFonts w:ascii="Helvetica" w:hAnsi="Helvetica"/>
          <w:sz w:val="20"/>
          <w:szCs w:val="20"/>
        </w:rPr>
        <w:t>.</w:t>
      </w:r>
    </w:p>
    <w:p w14:paraId="5056980A" w14:textId="77777777" w:rsidR="00035E4B" w:rsidRPr="009D1BC4" w:rsidRDefault="00035E4B" w:rsidP="00FB3245">
      <w:pPr>
        <w:jc w:val="both"/>
        <w:rPr>
          <w:rFonts w:ascii="Helvetica" w:hAnsi="Helvetica"/>
          <w:sz w:val="20"/>
          <w:szCs w:val="20"/>
        </w:rPr>
      </w:pPr>
    </w:p>
    <w:p w14:paraId="2F5BA44B" w14:textId="5F32B4DC" w:rsidR="00FA4832" w:rsidRPr="009D1BC4" w:rsidRDefault="00035E4B" w:rsidP="00FB3245">
      <w:pPr>
        <w:jc w:val="both"/>
        <w:rPr>
          <w:rFonts w:ascii="Helvetica" w:hAnsi="Helvetica"/>
          <w:sz w:val="20"/>
          <w:szCs w:val="20"/>
        </w:rPr>
      </w:pPr>
      <w:r w:rsidRPr="009D1BC4">
        <w:rPr>
          <w:rFonts w:ascii="Helvetica" w:hAnsi="Helvetica"/>
          <w:sz w:val="20"/>
          <w:szCs w:val="20"/>
        </w:rPr>
        <w:t xml:space="preserve">Each 24-second trial comprised a standardized sequence (Figure 1): a 6-second decision-making phase featuring the trustee's photograph, a 3-second response window, a 3-second anticipation phase, and an outcome phase displaying the trustee’s choice. Trials were separated by a variable, jittered inter-trial interval (3-6s) to optimize event-related BOLD signal estimation. Total </w:t>
      </w:r>
      <w:r w:rsidR="00FA4832" w:rsidRPr="009D1BC4">
        <w:rPr>
          <w:rFonts w:ascii="Helvetica" w:hAnsi="Helvetica"/>
          <w:sz w:val="20"/>
          <w:szCs w:val="20"/>
        </w:rPr>
        <w:t>task duration of approximately 24 minutes and 54 seconds</w:t>
      </w:r>
      <w:r w:rsidR="0084086D" w:rsidRPr="009D1BC4">
        <w:rPr>
          <w:rFonts w:ascii="Helvetica" w:hAnsi="Helvetica"/>
          <w:sz w:val="20"/>
          <w:szCs w:val="20"/>
        </w:rPr>
        <w:t xml:space="preserve"> (See Figure 2)</w:t>
      </w:r>
      <w:r w:rsidR="00FA4832" w:rsidRPr="009D1BC4">
        <w:rPr>
          <w:rFonts w:ascii="Helvetica" w:hAnsi="Helvetica"/>
          <w:sz w:val="20"/>
          <w:szCs w:val="20"/>
        </w:rPr>
        <w:t>.</w:t>
      </w:r>
      <w:r w:rsidR="00DC2C35">
        <w:rPr>
          <w:rFonts w:ascii="Helvetica" w:hAnsi="Helvetica"/>
          <w:sz w:val="20"/>
          <w:szCs w:val="20"/>
        </w:rPr>
        <w:t xml:space="preserve"> </w:t>
      </w:r>
      <w:r w:rsidR="00DC2C35" w:rsidRPr="00DC2C35">
        <w:rPr>
          <w:rFonts w:ascii="Helvetica" w:hAnsi="Helvetica"/>
          <w:sz w:val="20"/>
          <w:szCs w:val="20"/>
        </w:rPr>
        <w:t>This design allows trial-by-trial estimation of prediction errors and value updating during social decision-making.</w:t>
      </w:r>
      <w:r w:rsidR="00DC2C35" w:rsidRPr="00DC2C35">
        <w:t xml:space="preserve"> </w:t>
      </w:r>
      <w:r w:rsidR="00DC2C35" w:rsidRPr="00DC2C35">
        <w:rPr>
          <w:rFonts w:ascii="Helvetica" w:hAnsi="Helvetica"/>
          <w:sz w:val="20"/>
          <w:szCs w:val="20"/>
        </w:rPr>
        <w:t>This design allows trial-by-trial estimation of prediction errors and value updating during social decision-making.</w:t>
      </w:r>
    </w:p>
    <w:p w14:paraId="69BA9AE6" w14:textId="77777777" w:rsidR="00FA4832" w:rsidRPr="009D1BC4" w:rsidRDefault="00FA4832" w:rsidP="00FB3245">
      <w:pPr>
        <w:jc w:val="both"/>
        <w:rPr>
          <w:rFonts w:ascii="Helvetica" w:hAnsi="Helvetica"/>
          <w:sz w:val="20"/>
          <w:szCs w:val="20"/>
        </w:rPr>
      </w:pPr>
    </w:p>
    <w:p w14:paraId="36D55899" w14:textId="53A87F74" w:rsidR="00FA4832" w:rsidRPr="009D1BC4" w:rsidRDefault="00FA4832" w:rsidP="00FB3245">
      <w:pPr>
        <w:jc w:val="both"/>
        <w:rPr>
          <w:rFonts w:ascii="Helvetica" w:hAnsi="Helvetica"/>
          <w:sz w:val="20"/>
          <w:szCs w:val="20"/>
        </w:rPr>
      </w:pPr>
    </w:p>
    <w:p w14:paraId="48FE6958" w14:textId="77777777" w:rsidR="00593620" w:rsidRPr="009D1BC4" w:rsidRDefault="00593620" w:rsidP="00FB3245">
      <w:pPr>
        <w:jc w:val="both"/>
        <w:rPr>
          <w:rFonts w:ascii="Helvetica" w:hAnsi="Helvetica"/>
          <w:sz w:val="20"/>
          <w:szCs w:val="20"/>
        </w:rPr>
      </w:pPr>
    </w:p>
    <w:p w14:paraId="31B4C6C4" w14:textId="4DB2278D" w:rsidR="00FA4832" w:rsidRPr="009D1BC4" w:rsidRDefault="00593620" w:rsidP="00FB3245">
      <w:pPr>
        <w:jc w:val="both"/>
        <w:rPr>
          <w:rFonts w:ascii="Helvetica" w:hAnsi="Helvetica"/>
          <w:sz w:val="20"/>
          <w:szCs w:val="20"/>
        </w:rPr>
      </w:pPr>
      <w:r w:rsidRPr="009D1BC4">
        <w:rPr>
          <w:rFonts w:ascii="Helvetica" w:hAnsi="Helvetica"/>
          <w:noProof/>
          <w:sz w:val="20"/>
          <w:szCs w:val="20"/>
          <w14:ligatures w14:val="standardContextual"/>
        </w:rPr>
        <w:lastRenderedPageBreak/>
        <w:drawing>
          <wp:inline distT="0" distB="0" distL="0" distR="0" wp14:anchorId="46A42EC1" wp14:editId="684097CC">
            <wp:extent cx="5943600" cy="5126990"/>
            <wp:effectExtent l="0" t="0" r="0" b="3810"/>
            <wp:docPr id="883097134" name="Picture 1" descr="A diagram of a group of individu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097134" name="Picture 1" descr="A diagram of a group of individual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5126990"/>
                    </a:xfrm>
                    <a:prstGeom prst="rect">
                      <a:avLst/>
                    </a:prstGeom>
                  </pic:spPr>
                </pic:pic>
              </a:graphicData>
            </a:graphic>
          </wp:inline>
        </w:drawing>
      </w:r>
    </w:p>
    <w:p w14:paraId="7F3A173B" w14:textId="77777777" w:rsidR="00FA4832" w:rsidRPr="009D1BC4" w:rsidRDefault="00FA4832" w:rsidP="00FB3245">
      <w:pPr>
        <w:spacing w:line="240" w:lineRule="auto"/>
        <w:jc w:val="both"/>
        <w:rPr>
          <w:rFonts w:ascii="Helvetica" w:hAnsi="Helvetica"/>
          <w:sz w:val="18"/>
          <w:szCs w:val="18"/>
        </w:rPr>
      </w:pPr>
      <w:r w:rsidRPr="009D1BC4">
        <w:rPr>
          <w:rFonts w:ascii="Helvetica" w:hAnsi="Helvetica"/>
          <w:sz w:val="20"/>
          <w:szCs w:val="20"/>
        </w:rPr>
        <w:t xml:space="preserve">Figure 1. </w:t>
      </w:r>
      <w:r w:rsidRPr="009D1BC4">
        <w:rPr>
          <w:rFonts w:ascii="Helvetica" w:hAnsi="Helvetica"/>
          <w:sz w:val="18"/>
          <w:szCs w:val="18"/>
        </w:rPr>
        <w:t>Single-trial timeline of the Trust Game. At the start of each trial, the participant receives an endowment of 40 Turkish Lira (TL) and chooses to Keep or Invest (transfer to a trustee). If they Keep, the 40 TL is split evenly (20 TL each). If they Invest, the transfer is tripled to 120 TL; the trustee then either shares it equally (60 TL each) or keeps the entire 120 TL. The six panels illustrate the standardized sequence of screens presented on every trial—from endowment and choice to trustee decision and outcome feedback. The task comprised three blocks of 20 trials (60 trials total), with the core decision on each trial being whether to trust the trustee.</w:t>
      </w:r>
    </w:p>
    <w:p w14:paraId="729A1DF4" w14:textId="77777777" w:rsidR="00FA4832" w:rsidRPr="009D1BC4" w:rsidRDefault="00FA4832" w:rsidP="00FB3245">
      <w:pPr>
        <w:jc w:val="both"/>
        <w:rPr>
          <w:rFonts w:ascii="Helvetica" w:hAnsi="Helvetica"/>
          <w:sz w:val="20"/>
          <w:szCs w:val="20"/>
        </w:rPr>
      </w:pPr>
    </w:p>
    <w:p w14:paraId="3AFE5BFA" w14:textId="77777777" w:rsidR="00FA4832" w:rsidRPr="009D1BC4" w:rsidRDefault="00FA4832" w:rsidP="00FB3245">
      <w:pPr>
        <w:jc w:val="both"/>
        <w:rPr>
          <w:rFonts w:ascii="Helvetica" w:hAnsi="Helvetica"/>
          <w:sz w:val="20"/>
          <w:szCs w:val="20"/>
        </w:rPr>
      </w:pPr>
    </w:p>
    <w:p w14:paraId="212711A3" w14:textId="77777777" w:rsidR="00593620" w:rsidRPr="009D1BC4" w:rsidRDefault="00593620" w:rsidP="00FB3245">
      <w:pPr>
        <w:jc w:val="both"/>
        <w:rPr>
          <w:rFonts w:ascii="Helvetica" w:hAnsi="Helvetica"/>
          <w:sz w:val="20"/>
          <w:szCs w:val="20"/>
        </w:rPr>
      </w:pPr>
    </w:p>
    <w:p w14:paraId="0D2C5C78" w14:textId="77777777" w:rsidR="00593620" w:rsidRPr="009D1BC4" w:rsidRDefault="00593620" w:rsidP="00FB3245">
      <w:pPr>
        <w:jc w:val="both"/>
        <w:rPr>
          <w:rFonts w:ascii="Helvetica" w:hAnsi="Helvetica"/>
          <w:sz w:val="20"/>
          <w:szCs w:val="20"/>
        </w:rPr>
      </w:pPr>
    </w:p>
    <w:p w14:paraId="41173A61" w14:textId="77777777" w:rsidR="00593620" w:rsidRPr="009D1BC4" w:rsidRDefault="00593620" w:rsidP="00FB3245">
      <w:pPr>
        <w:jc w:val="both"/>
        <w:rPr>
          <w:rFonts w:ascii="Helvetica" w:hAnsi="Helvetica"/>
          <w:sz w:val="20"/>
          <w:szCs w:val="20"/>
        </w:rPr>
      </w:pPr>
    </w:p>
    <w:p w14:paraId="0DD9F9E3" w14:textId="77777777" w:rsidR="00593620" w:rsidRPr="009D1BC4" w:rsidRDefault="00593620" w:rsidP="00FB3245">
      <w:pPr>
        <w:jc w:val="both"/>
        <w:rPr>
          <w:rFonts w:ascii="Helvetica" w:hAnsi="Helvetica"/>
          <w:sz w:val="20"/>
          <w:szCs w:val="20"/>
        </w:rPr>
      </w:pPr>
    </w:p>
    <w:p w14:paraId="7E586AB4" w14:textId="77777777" w:rsidR="00593620" w:rsidRPr="009D1BC4" w:rsidRDefault="00593620" w:rsidP="00FB3245">
      <w:pPr>
        <w:jc w:val="both"/>
        <w:rPr>
          <w:rFonts w:ascii="Helvetica" w:hAnsi="Helvetica"/>
          <w:sz w:val="20"/>
          <w:szCs w:val="20"/>
        </w:rPr>
      </w:pPr>
    </w:p>
    <w:p w14:paraId="74C2A531" w14:textId="77777777" w:rsidR="00593620" w:rsidRPr="009D1BC4" w:rsidRDefault="00593620" w:rsidP="00FB3245">
      <w:pPr>
        <w:jc w:val="both"/>
        <w:rPr>
          <w:rFonts w:ascii="Helvetica" w:hAnsi="Helvetica"/>
          <w:sz w:val="20"/>
          <w:szCs w:val="20"/>
        </w:rPr>
      </w:pPr>
    </w:p>
    <w:p w14:paraId="6EF801A2" w14:textId="77777777" w:rsidR="00593620" w:rsidRPr="009D1BC4" w:rsidRDefault="00593620" w:rsidP="00FB3245">
      <w:pPr>
        <w:jc w:val="both"/>
        <w:rPr>
          <w:rFonts w:ascii="Helvetica" w:hAnsi="Helvetica"/>
          <w:sz w:val="20"/>
          <w:szCs w:val="20"/>
        </w:rPr>
      </w:pPr>
    </w:p>
    <w:p w14:paraId="7515C73C" w14:textId="77777777" w:rsidR="00593620" w:rsidRPr="009D1BC4" w:rsidRDefault="00593620" w:rsidP="00FB3245">
      <w:pPr>
        <w:jc w:val="both"/>
        <w:rPr>
          <w:rFonts w:ascii="Helvetica" w:hAnsi="Helvetica"/>
          <w:sz w:val="20"/>
          <w:szCs w:val="20"/>
        </w:rPr>
      </w:pPr>
    </w:p>
    <w:p w14:paraId="2E865069" w14:textId="77777777" w:rsidR="00593620" w:rsidRPr="009D1BC4" w:rsidRDefault="00593620" w:rsidP="00FB3245">
      <w:pPr>
        <w:jc w:val="both"/>
        <w:rPr>
          <w:rFonts w:ascii="Helvetica" w:hAnsi="Helvetica"/>
          <w:sz w:val="20"/>
          <w:szCs w:val="20"/>
        </w:rPr>
      </w:pPr>
    </w:p>
    <w:p w14:paraId="0F915041" w14:textId="7795677E" w:rsidR="00593620" w:rsidRPr="009D1BC4" w:rsidRDefault="00593620" w:rsidP="00FB3245">
      <w:pPr>
        <w:jc w:val="both"/>
        <w:rPr>
          <w:rFonts w:ascii="Helvetica" w:hAnsi="Helvetica"/>
          <w:sz w:val="20"/>
          <w:szCs w:val="20"/>
        </w:rPr>
      </w:pPr>
      <w:r w:rsidRPr="009D1BC4">
        <w:rPr>
          <w:rFonts w:ascii="Helvetica" w:hAnsi="Helvetica"/>
          <w:noProof/>
          <w:sz w:val="20"/>
          <w:szCs w:val="20"/>
          <w14:ligatures w14:val="standardContextual"/>
        </w:rPr>
        <w:lastRenderedPageBreak/>
        <w:drawing>
          <wp:inline distT="0" distB="0" distL="0" distR="0" wp14:anchorId="39B03466" wp14:editId="571F904D">
            <wp:extent cx="5943600" cy="3343275"/>
            <wp:effectExtent l="0" t="0" r="0" b="0"/>
            <wp:docPr id="7868223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822303" name="Picture 78682230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B1B6295" w14:textId="77777777" w:rsidR="00FA4832" w:rsidRPr="009D1BC4" w:rsidRDefault="00FA4832" w:rsidP="00FB3245">
      <w:pPr>
        <w:spacing w:line="240" w:lineRule="auto"/>
        <w:jc w:val="both"/>
        <w:rPr>
          <w:rFonts w:ascii="Helvetica" w:hAnsi="Helvetica"/>
          <w:sz w:val="18"/>
          <w:szCs w:val="18"/>
        </w:rPr>
      </w:pPr>
      <w:r w:rsidRPr="009D1BC4">
        <w:rPr>
          <w:rFonts w:ascii="Helvetica" w:hAnsi="Helvetica"/>
          <w:b/>
          <w:bCs/>
          <w:sz w:val="18"/>
          <w:szCs w:val="18"/>
        </w:rPr>
        <w:t>Figure 2.</w:t>
      </w:r>
      <w:r w:rsidRPr="009D1BC4">
        <w:rPr>
          <w:rFonts w:ascii="Helvetica" w:hAnsi="Helvetica"/>
          <w:sz w:val="18"/>
          <w:szCs w:val="18"/>
        </w:rPr>
        <w:t xml:space="preserve"> Trial screens and timing in the Trust Game. fMRI task model for each trial. Each participant plays the game as sets of 20 trials, i.e., 60 trials in total. (1) Decision/anticipation (6 s): trustee photo + 40 TL endowment shown; no response required. (2) Choice confirmation (≤3 s): participants confirm Keep vs Invest via button press; no response yields 0 TL for that trial; five missed responses (consecutive or not) terminate the task. (3) Anticipation (3 s): waiting for trustee’s decision. (4) Outcome (3 s): trustee’s choice display share the tripled investment (120 TL, 60 TL each) or keep all—along with participant earnings. (E) Jittered ITI (blank) 3–6 s. (F) Fixation 3–6 s, adjusted to yield a fixed 9 s total inter-trial interval. Durations in seconds unless noted.</w:t>
      </w:r>
    </w:p>
    <w:p w14:paraId="5E05F8E4" w14:textId="1B6E710E" w:rsidR="00BE273B" w:rsidRPr="009D1BC4" w:rsidRDefault="00BE273B" w:rsidP="009D1BC4">
      <w:pPr>
        <w:jc w:val="both"/>
        <w:rPr>
          <w:rFonts w:ascii="Helvetica" w:eastAsia="Calibri" w:hAnsi="Helvetica"/>
          <w:sz w:val="20"/>
          <w:szCs w:val="20"/>
        </w:rPr>
      </w:pPr>
    </w:p>
    <w:p w14:paraId="4B68C4ED" w14:textId="7C72DFF0" w:rsidR="00BE273B" w:rsidRPr="009D1BC4" w:rsidRDefault="00BE273B" w:rsidP="009D1BC4">
      <w:pPr>
        <w:pStyle w:val="Duz2"/>
        <w:jc w:val="both"/>
        <w:rPr>
          <w:rFonts w:ascii="Helvetica" w:hAnsi="Helvetica"/>
          <w:bCs/>
          <w:sz w:val="20"/>
          <w:szCs w:val="20"/>
        </w:rPr>
      </w:pPr>
      <w:r w:rsidRPr="009D1BC4">
        <w:rPr>
          <w:rFonts w:ascii="Helvetica" w:hAnsi="Helvetica"/>
          <w:bCs/>
          <w:sz w:val="20"/>
          <w:szCs w:val="20"/>
        </w:rPr>
        <w:t>2.4. Computational Learning Model Based on Rescorla-Wagner</w:t>
      </w:r>
    </w:p>
    <w:p w14:paraId="6A8FCB2C" w14:textId="1D2A4E38" w:rsidR="002F535A" w:rsidRPr="009D1BC4" w:rsidRDefault="002F535A" w:rsidP="009D1BC4">
      <w:pPr>
        <w:pStyle w:val="BodyText"/>
        <w:jc w:val="both"/>
        <w:rPr>
          <w:rFonts w:ascii="Helvetica" w:hAnsi="Helvetica" w:cs="Arial"/>
          <w:sz w:val="20"/>
          <w:szCs w:val="20"/>
        </w:rPr>
      </w:pPr>
      <w:r w:rsidRPr="009D1BC4">
        <w:rPr>
          <w:rFonts w:ascii="Helvetica" w:hAnsi="Helvetica" w:cs="Arial"/>
          <w:sz w:val="20"/>
          <w:szCs w:val="20"/>
        </w:rPr>
        <w:t xml:space="preserve">Choice behavior was fit to a standard Rescorla-Wagner </w:t>
      </w:r>
      <w:r w:rsidR="009433E2" w:rsidRPr="009D1BC4">
        <w:rPr>
          <w:rFonts w:ascii="Helvetica" w:hAnsi="Helvetica" w:cs="Arial"/>
          <w:sz w:val="20"/>
          <w:szCs w:val="20"/>
        </w:rPr>
        <w:t xml:space="preserve">(RW) </w:t>
      </w:r>
      <w:r w:rsidRPr="009D1BC4">
        <w:rPr>
          <w:rFonts w:ascii="Helvetica" w:hAnsi="Helvetica" w:cs="Arial"/>
          <w:sz w:val="20"/>
          <w:szCs w:val="20"/>
        </w:rPr>
        <w:t xml:space="preserve">reinforcement learning model utilizing a </w:t>
      </w:r>
      <w:r w:rsidR="006438DF" w:rsidRPr="009D1BC4">
        <w:rPr>
          <w:rFonts w:ascii="Helvetica" w:hAnsi="Helvetica" w:cs="Arial"/>
          <w:sz w:val="20"/>
          <w:szCs w:val="20"/>
        </w:rPr>
        <w:t>SoftMax</w:t>
      </w:r>
      <w:r w:rsidRPr="009D1BC4">
        <w:rPr>
          <w:rFonts w:ascii="Helvetica" w:hAnsi="Helvetica" w:cs="Arial"/>
          <w:sz w:val="20"/>
          <w:szCs w:val="20"/>
        </w:rPr>
        <w:t xml:space="preserve"> decision rule to estimate learning rate (</w:t>
      </w:r>
      <m:oMath>
        <m:r>
          <w:rPr>
            <w:rFonts w:ascii="Cambria Math" w:hAnsi="Cambria Math" w:cs="Arial"/>
            <w:sz w:val="20"/>
            <w:szCs w:val="20"/>
          </w:rPr>
          <m:t>α</m:t>
        </m:r>
      </m:oMath>
      <w:r w:rsidRPr="009D1BC4">
        <w:rPr>
          <w:rFonts w:ascii="Helvetica" w:hAnsi="Helvetica" w:cs="Arial"/>
          <w:sz w:val="20"/>
          <w:szCs w:val="20"/>
        </w:rPr>
        <w:t>) and inverse temperature (</w:t>
      </w:r>
      <m:oMath>
        <m:r>
          <w:rPr>
            <w:rFonts w:ascii="Cambria Math" w:hAnsi="Cambria Math" w:cs="Arial"/>
            <w:sz w:val="20"/>
            <w:szCs w:val="20"/>
          </w:rPr>
          <m:t>β</m:t>
        </m:r>
      </m:oMath>
      <w:r w:rsidRPr="009D1BC4">
        <w:rPr>
          <w:rFonts w:ascii="Helvetica" w:hAnsi="Helvetica" w:cs="Arial"/>
          <w:sz w:val="20"/>
          <w:szCs w:val="20"/>
        </w:rPr>
        <w:t xml:space="preserve">). </w:t>
      </w:r>
      <w:r w:rsidR="00A818B7" w:rsidRPr="009D1BC4">
        <w:rPr>
          <w:rFonts w:ascii="Helvetica" w:hAnsi="Helvetica" w:cs="Arial"/>
          <w:sz w:val="20"/>
          <w:szCs w:val="20"/>
        </w:rPr>
        <w:t>Subject-level parameters were estimated using Maximum A Posteriori (MAP) estimation to ensure robust fits. Optimization routines and prior distributions are detailed in the Supplementary Material.</w:t>
      </w:r>
      <w:r w:rsidR="009433E2" w:rsidRPr="009D1BC4">
        <w:rPr>
          <w:rFonts w:ascii="Helvetica" w:hAnsi="Helvetica" w:cs="Arial"/>
          <w:sz w:val="20"/>
          <w:szCs w:val="20"/>
        </w:rPr>
        <w:t xml:space="preserve"> We performed control analysis for model selection, comparing simple RW model to alternative models such as adaptive learning, dual alpha and null model. </w:t>
      </w:r>
      <w:r w:rsidR="00716B2E" w:rsidRPr="009D1BC4">
        <w:rPr>
          <w:rFonts w:ascii="Helvetica" w:hAnsi="Helvetica" w:cs="Arial"/>
          <w:sz w:val="20"/>
          <w:szCs w:val="20"/>
        </w:rPr>
        <w:t>Full mathematical model formulations are provided in the Supplementary Material.</w:t>
      </w:r>
    </w:p>
    <w:p w14:paraId="47AA934C" w14:textId="76DD9EDC" w:rsidR="006438DF" w:rsidRPr="009D1BC4" w:rsidRDefault="006438DF" w:rsidP="009D1BC4">
      <w:pPr>
        <w:pStyle w:val="BodyText"/>
        <w:jc w:val="both"/>
        <w:rPr>
          <w:rFonts w:ascii="Helvetica" w:hAnsi="Helvetica" w:cs="Arial"/>
          <w:sz w:val="20"/>
          <w:szCs w:val="20"/>
        </w:rPr>
      </w:pPr>
      <w:r w:rsidRPr="009D1BC4">
        <w:rPr>
          <w:rFonts w:ascii="Helvetica" w:hAnsi="Helvetica" w:cs="Arial"/>
          <w:sz w:val="20"/>
          <w:szCs w:val="20"/>
        </w:rPr>
        <w:t xml:space="preserve">Model-free behavior was quantified using Win-Stay/Loss-Shift (WSLS) probabilities. A 'Win' was defined as a trial where the trustee reciprocated (shared the investment), and a 'Loss' as a trial where the trustee kept the investment. 'Win-Stay' was calculated as the probability of investing in trial </w:t>
      </w:r>
      <m:oMath>
        <m:r>
          <w:rPr>
            <w:rFonts w:ascii="Cambria Math" w:hAnsi="Cambria Math" w:cs="Arial"/>
            <w:sz w:val="20"/>
            <w:szCs w:val="20"/>
          </w:rPr>
          <m:t>t</m:t>
        </m:r>
        <m:r>
          <m:rPr>
            <m:sty m:val="p"/>
          </m:rPr>
          <w:rPr>
            <w:rFonts w:ascii="Cambria Math" w:hAnsi="Cambria Math" w:cs="Arial"/>
            <w:sz w:val="20"/>
            <w:szCs w:val="20"/>
          </w:rPr>
          <m:t>+1</m:t>
        </m:r>
      </m:oMath>
      <w:r w:rsidRPr="009D1BC4">
        <w:rPr>
          <w:rFonts w:ascii="Helvetica" w:hAnsi="Helvetica" w:cs="Arial"/>
          <w:sz w:val="20"/>
          <w:szCs w:val="20"/>
        </w:rPr>
        <w:t xml:space="preserve"> given a win in trial </w:t>
      </w:r>
      <m:oMath>
        <m:r>
          <w:rPr>
            <w:rFonts w:ascii="Cambria Math" w:hAnsi="Cambria Math" w:cs="Arial"/>
            <w:sz w:val="20"/>
            <w:szCs w:val="20"/>
          </w:rPr>
          <m:t>t</m:t>
        </m:r>
        <m:r>
          <m:rPr>
            <m:sty m:val="p"/>
          </m:rPr>
          <w:rPr>
            <w:rFonts w:ascii="Cambria Math" w:hAnsi="Cambria Math" w:cs="Arial"/>
            <w:sz w:val="20"/>
            <w:szCs w:val="20"/>
          </w:rPr>
          <m:t>.</m:t>
        </m:r>
      </m:oMath>
    </w:p>
    <w:p w14:paraId="75E7CD8F" w14:textId="50E49296" w:rsidR="00A818B7" w:rsidRPr="009D1BC4" w:rsidRDefault="00A818B7" w:rsidP="009D1BC4">
      <w:pPr>
        <w:pStyle w:val="Duz3"/>
        <w:jc w:val="both"/>
        <w:rPr>
          <w:rFonts w:ascii="Helvetica" w:hAnsi="Helvetica"/>
          <w:sz w:val="20"/>
          <w:szCs w:val="20"/>
        </w:rPr>
      </w:pPr>
      <w:r w:rsidRPr="009D1BC4">
        <w:rPr>
          <w:rFonts w:ascii="Helvetica" w:hAnsi="Helvetica"/>
          <w:sz w:val="20"/>
          <w:szCs w:val="20"/>
        </w:rPr>
        <w:t xml:space="preserve">2.4.1 Model validation and Parameter Recovery </w:t>
      </w:r>
    </w:p>
    <w:p w14:paraId="402F7E87" w14:textId="065F89EA" w:rsidR="008D68DF" w:rsidRPr="009D1BC4" w:rsidRDefault="00A818B7" w:rsidP="009D1BC4">
      <w:pPr>
        <w:pStyle w:val="BodyText"/>
        <w:jc w:val="both"/>
        <w:rPr>
          <w:rFonts w:ascii="Helvetica" w:hAnsi="Helvetica" w:cs="Arial"/>
          <w:sz w:val="20"/>
          <w:szCs w:val="20"/>
        </w:rPr>
      </w:pPr>
      <w:r w:rsidRPr="009D1BC4">
        <w:rPr>
          <w:rFonts w:ascii="Helvetica" w:hAnsi="Helvetica" w:cs="Arial"/>
          <w:sz w:val="20"/>
          <w:szCs w:val="20"/>
        </w:rPr>
        <w:t xml:space="preserve">To ensure the mathematical reliability of our computational framework, we conducted extensive parameter recovery simulations and predictive checks. These analyses confirmed excellent parameter identifiability for both learning rate and inverse temperature and demonstrated that the </w:t>
      </w:r>
      <w:r w:rsidR="00C60413" w:rsidRPr="009D1BC4">
        <w:rPr>
          <w:rFonts w:ascii="Helvetica" w:hAnsi="Helvetica" w:cs="Arial"/>
          <w:sz w:val="20"/>
          <w:szCs w:val="20"/>
        </w:rPr>
        <w:t xml:space="preserve">simple RW </w:t>
      </w:r>
      <w:r w:rsidRPr="009D1BC4">
        <w:rPr>
          <w:rFonts w:ascii="Helvetica" w:hAnsi="Helvetica" w:cs="Arial"/>
          <w:sz w:val="20"/>
          <w:szCs w:val="20"/>
        </w:rPr>
        <w:t>model reliably captured empirical choice trajectories (significantly outperforming chance). Full simulation methodologies and recovery statistics are detailed in the Supplementary Material.</w:t>
      </w:r>
    </w:p>
    <w:p w14:paraId="2D4F8CC3" w14:textId="151FB090" w:rsidR="008D68DF" w:rsidRPr="009D1BC4" w:rsidRDefault="008D68DF" w:rsidP="009D1BC4">
      <w:pPr>
        <w:pStyle w:val="Duz3"/>
        <w:jc w:val="both"/>
        <w:rPr>
          <w:rFonts w:ascii="Helvetica" w:hAnsi="Helvetica"/>
          <w:sz w:val="20"/>
          <w:szCs w:val="20"/>
        </w:rPr>
      </w:pPr>
      <w:r w:rsidRPr="009D1BC4">
        <w:rPr>
          <w:rFonts w:ascii="Helvetica" w:hAnsi="Helvetica"/>
          <w:sz w:val="20"/>
          <w:szCs w:val="20"/>
        </w:rPr>
        <w:t>2.</w:t>
      </w:r>
      <w:r w:rsidR="00D93D2F" w:rsidRPr="009D1BC4">
        <w:rPr>
          <w:rFonts w:ascii="Helvetica" w:hAnsi="Helvetica"/>
          <w:sz w:val="20"/>
          <w:szCs w:val="20"/>
        </w:rPr>
        <w:t>4.2</w:t>
      </w:r>
      <w:r w:rsidRPr="009D1BC4">
        <w:rPr>
          <w:rFonts w:ascii="Helvetica" w:hAnsi="Helvetica"/>
          <w:sz w:val="20"/>
          <w:szCs w:val="20"/>
        </w:rPr>
        <w:t xml:space="preserve"> Computational Parameter Comparison </w:t>
      </w:r>
    </w:p>
    <w:p w14:paraId="70D25206" w14:textId="17C7BB45" w:rsidR="00240667" w:rsidRPr="009D1BC4" w:rsidRDefault="008D68DF" w:rsidP="009D1BC4">
      <w:pPr>
        <w:jc w:val="both"/>
        <w:rPr>
          <w:rFonts w:ascii="Helvetica" w:eastAsia="Calibri" w:hAnsi="Helvetica"/>
          <w:sz w:val="20"/>
          <w:szCs w:val="20"/>
        </w:rPr>
      </w:pPr>
      <w:r w:rsidRPr="009D1BC4">
        <w:rPr>
          <w:rFonts w:ascii="Helvetica" w:eastAsia="Calibri" w:hAnsi="Helvetica"/>
          <w:sz w:val="20"/>
          <w:szCs w:val="20"/>
        </w:rPr>
        <w:t xml:space="preserve">Group differences in </w:t>
      </w:r>
      <m:oMath>
        <m:r>
          <w:rPr>
            <w:rFonts w:ascii="Cambria Math" w:eastAsia="Calibri" w:hAnsi="Cambria Math"/>
            <w:sz w:val="20"/>
            <w:szCs w:val="20"/>
          </w:rPr>
          <m:t>α</m:t>
        </m:r>
      </m:oMath>
      <w:r w:rsidRPr="009D1BC4">
        <w:rPr>
          <w:rFonts w:ascii="Helvetica" w:eastAsia="Calibri" w:hAnsi="Helvetica"/>
          <w:sz w:val="20"/>
          <w:szCs w:val="20"/>
        </w:rPr>
        <w:t xml:space="preserve">, </w:t>
      </w:r>
      <m:oMath>
        <m:r>
          <w:rPr>
            <w:rFonts w:ascii="Cambria Math" w:eastAsia="Calibri" w:hAnsi="Cambria Math"/>
            <w:sz w:val="20"/>
            <w:szCs w:val="20"/>
          </w:rPr>
          <m:t>β</m:t>
        </m:r>
      </m:oMath>
      <w:r w:rsidRPr="009D1BC4">
        <w:rPr>
          <w:rFonts w:ascii="Helvetica" w:eastAsia="Calibri" w:hAnsi="Helvetica"/>
          <w:sz w:val="20"/>
          <w:szCs w:val="20"/>
        </w:rPr>
        <w:t>, Pseudo-R</w:t>
      </w:r>
      <w:r w:rsidRPr="009D1BC4">
        <w:rPr>
          <w:rFonts w:ascii="Helvetica" w:eastAsia="Calibri" w:hAnsi="Helvetica"/>
          <w:sz w:val="20"/>
          <w:szCs w:val="20"/>
          <w:vertAlign w:val="superscript"/>
        </w:rPr>
        <w:t>2</w:t>
      </w:r>
      <w:r w:rsidRPr="009D1BC4">
        <w:rPr>
          <w:rFonts w:ascii="Helvetica" w:eastAsia="Calibri" w:hAnsi="Helvetica"/>
          <w:sz w:val="20"/>
          <w:szCs w:val="20"/>
        </w:rPr>
        <w:t xml:space="preserve"> were assessed using non-parametric permutation tests (10.000 samples) on medians to account for the non-normal distribution of the estimated parameters. </w:t>
      </w:r>
    </w:p>
    <w:p w14:paraId="097AA42B" w14:textId="62A50C36" w:rsidR="0081169A" w:rsidRPr="009D1BC4" w:rsidRDefault="0081169A" w:rsidP="009D1BC4">
      <w:pPr>
        <w:pStyle w:val="Duz3"/>
        <w:jc w:val="both"/>
        <w:rPr>
          <w:rFonts w:ascii="Helvetica" w:hAnsi="Helvetica"/>
          <w:sz w:val="20"/>
          <w:szCs w:val="20"/>
        </w:rPr>
      </w:pPr>
      <w:r w:rsidRPr="009D1BC4">
        <w:rPr>
          <w:rFonts w:ascii="Helvetica" w:hAnsi="Helvetica"/>
          <w:sz w:val="20"/>
          <w:szCs w:val="20"/>
        </w:rPr>
        <w:lastRenderedPageBreak/>
        <w:t>2.4.3 Analysis of Trial-by-Trial Prediction Errors</w:t>
      </w:r>
    </w:p>
    <w:p w14:paraId="2804240E" w14:textId="06D11929" w:rsidR="0081169A" w:rsidRPr="009D1BC4" w:rsidRDefault="0081169A" w:rsidP="009D1BC4">
      <w:pPr>
        <w:jc w:val="both"/>
        <w:rPr>
          <w:rFonts w:ascii="Helvetica" w:eastAsia="Calibri" w:hAnsi="Helvetica"/>
          <w:sz w:val="20"/>
          <w:szCs w:val="20"/>
        </w:rPr>
      </w:pPr>
      <w:r w:rsidRPr="009D1BC4">
        <w:rPr>
          <w:rFonts w:ascii="Helvetica" w:eastAsia="Calibri" w:hAnsi="Helvetica"/>
          <w:sz w:val="20"/>
          <w:szCs w:val="20"/>
        </w:rPr>
        <w:t>To investigate dynamic changes in surprise magnitude across the Trust Game, we analyzed the absolute value of trial-by-trial prediction errors (</w:t>
      </w:r>
      <m:oMath>
        <m:d>
          <m:dPr>
            <m:begChr m:val="|"/>
            <m:endChr m:val="|"/>
            <m:ctrlPr>
              <w:rPr>
                <w:rFonts w:ascii="Cambria Math" w:eastAsia="Calibri" w:hAnsi="Cambria Math"/>
                <w:sz w:val="20"/>
                <w:szCs w:val="20"/>
              </w:rPr>
            </m:ctrlPr>
          </m:dPr>
          <m:e>
            <m:r>
              <w:rPr>
                <w:rFonts w:ascii="Cambria Math" w:eastAsia="Calibri" w:hAnsi="Cambria Math"/>
                <w:sz w:val="20"/>
                <w:szCs w:val="20"/>
              </w:rPr>
              <m:t>PE</m:t>
            </m:r>
          </m:e>
        </m:d>
      </m:oMath>
      <w:r w:rsidRPr="009D1BC4">
        <w:rPr>
          <w:rFonts w:ascii="Helvetica" w:eastAsia="Calibri" w:hAnsi="Helvetica"/>
          <w:sz w:val="20"/>
          <w:szCs w:val="20"/>
        </w:rPr>
        <w:t>) extracted from the winning computational model. We employed a Linear Mixed-Effects Model (LMM) to account for the nested, repeated-measures structure of the data (i.e., multiple trials nested within individual subjects).</w:t>
      </w:r>
    </w:p>
    <w:p w14:paraId="61262441" w14:textId="77777777" w:rsidR="00240667" w:rsidRPr="009D1BC4" w:rsidRDefault="00240667" w:rsidP="009D1BC4">
      <w:pPr>
        <w:jc w:val="both"/>
        <w:rPr>
          <w:rFonts w:ascii="Helvetica" w:eastAsia="Calibri" w:hAnsi="Helvetica"/>
          <w:sz w:val="20"/>
          <w:szCs w:val="20"/>
        </w:rPr>
      </w:pPr>
    </w:p>
    <w:p w14:paraId="30F6C1E5" w14:textId="629284C6" w:rsidR="00240667" w:rsidRPr="009D1BC4" w:rsidRDefault="00000000" w:rsidP="009D1BC4">
      <w:pPr>
        <w:jc w:val="both"/>
        <w:rPr>
          <w:rFonts w:ascii="Helvetica" w:eastAsia="Calibri" w:hAnsi="Helvetica"/>
          <w:sz w:val="20"/>
          <w:szCs w:val="20"/>
        </w:rPr>
      </w:pPr>
      <m:oMathPara>
        <m:oMath>
          <m:sSub>
            <m:sSubPr>
              <m:ctrlPr>
                <w:rPr>
                  <w:rFonts w:ascii="Cambria Math" w:eastAsia="Calibri" w:hAnsi="Cambria Math"/>
                  <w:sz w:val="20"/>
                  <w:szCs w:val="20"/>
                </w:rPr>
              </m:ctrlPr>
            </m:sSubPr>
            <m:e>
              <m:d>
                <m:dPr>
                  <m:begChr m:val="|"/>
                  <m:endChr m:val="|"/>
                  <m:ctrlPr>
                    <w:rPr>
                      <w:rFonts w:ascii="Cambria Math" w:eastAsia="Calibri" w:hAnsi="Cambria Math"/>
                      <w:sz w:val="20"/>
                      <w:szCs w:val="20"/>
                    </w:rPr>
                  </m:ctrlPr>
                </m:dPr>
                <m:e>
                  <m:r>
                    <w:rPr>
                      <w:rFonts w:ascii="Cambria Math" w:eastAsia="Calibri" w:hAnsi="Cambria Math"/>
                      <w:sz w:val="20"/>
                      <w:szCs w:val="20"/>
                    </w:rPr>
                    <m:t>PE</m:t>
                  </m:r>
                </m:e>
              </m:d>
            </m:e>
            <m:sub>
              <m:r>
                <w:rPr>
                  <w:rFonts w:ascii="Cambria Math" w:eastAsia="Calibri" w:hAnsi="Cambria Math"/>
                  <w:sz w:val="20"/>
                  <w:szCs w:val="20"/>
                </w:rPr>
                <m:t>ij</m:t>
              </m:r>
            </m:sub>
          </m:sSub>
          <m:r>
            <m:rPr>
              <m:sty m:val="p"/>
            </m:rPr>
            <w:rPr>
              <w:rFonts w:ascii="Cambria Math" w:eastAsia="Calibri" w:hAnsi="Cambria Math"/>
              <w:sz w:val="20"/>
              <w:szCs w:val="20"/>
            </w:rPr>
            <m:t>=</m:t>
          </m:r>
          <m:sSub>
            <m:sSubPr>
              <m:ctrlPr>
                <w:rPr>
                  <w:rFonts w:ascii="Cambria Math" w:eastAsia="Calibri" w:hAnsi="Cambria Math"/>
                  <w:sz w:val="20"/>
                  <w:szCs w:val="20"/>
                </w:rPr>
              </m:ctrlPr>
            </m:sSubPr>
            <m:e>
              <m:r>
                <m:rPr>
                  <m:sty m:val="p"/>
                </m:rPr>
                <w:rPr>
                  <w:rFonts w:ascii="Cambria Math" w:eastAsia="Calibri" w:hAnsi="Cambria Math"/>
                  <w:sz w:val="20"/>
                  <w:szCs w:val="20"/>
                </w:rPr>
                <m:t>β</m:t>
              </m:r>
            </m:e>
            <m:sub>
              <m:r>
                <m:rPr>
                  <m:sty m:val="p"/>
                </m:rPr>
                <w:rPr>
                  <w:rFonts w:ascii="Cambria Math" w:eastAsia="Calibri" w:hAnsi="Cambria Math"/>
                  <w:sz w:val="20"/>
                  <w:szCs w:val="20"/>
                </w:rPr>
                <m:t>0</m:t>
              </m:r>
            </m:sub>
          </m:sSub>
          <m:r>
            <m:rPr>
              <m:sty m:val="p"/>
            </m:rPr>
            <w:rPr>
              <w:rFonts w:ascii="Cambria Math" w:eastAsia="Calibri" w:hAnsi="Cambria Math"/>
              <w:sz w:val="20"/>
              <w:szCs w:val="20"/>
            </w:rPr>
            <m:t>+</m:t>
          </m:r>
          <m:sSub>
            <m:sSubPr>
              <m:ctrlPr>
                <w:rPr>
                  <w:rFonts w:ascii="Cambria Math" w:eastAsia="Calibri" w:hAnsi="Cambria Math"/>
                  <w:sz w:val="20"/>
                  <w:szCs w:val="20"/>
                </w:rPr>
              </m:ctrlPr>
            </m:sSubPr>
            <m:e>
              <m:r>
                <w:rPr>
                  <w:rFonts w:ascii="Cambria Math" w:eastAsia="Calibri" w:hAnsi="Cambria Math"/>
                  <w:sz w:val="20"/>
                  <w:szCs w:val="20"/>
                </w:rPr>
                <m:t>β</m:t>
              </m:r>
            </m:e>
            <m:sub>
              <m:r>
                <m:rPr>
                  <m:sty m:val="p"/>
                </m:rPr>
                <w:rPr>
                  <w:rFonts w:ascii="Cambria Math" w:eastAsia="Calibri" w:hAnsi="Cambria Math"/>
                  <w:sz w:val="20"/>
                  <w:szCs w:val="20"/>
                </w:rPr>
                <m:t>1</m:t>
              </m:r>
            </m:sub>
          </m:sSub>
          <m:d>
            <m:dPr>
              <m:ctrlPr>
                <w:rPr>
                  <w:rFonts w:ascii="Cambria Math" w:eastAsia="Calibri" w:hAnsi="Cambria Math"/>
                  <w:sz w:val="20"/>
                  <w:szCs w:val="20"/>
                </w:rPr>
              </m:ctrlPr>
            </m:dPr>
            <m:e>
              <m:r>
                <w:rPr>
                  <w:rFonts w:ascii="Cambria Math" w:eastAsia="Calibri" w:hAnsi="Cambria Math"/>
                  <w:sz w:val="20"/>
                  <w:szCs w:val="20"/>
                </w:rPr>
                <m:t>Grou</m:t>
              </m:r>
              <m:sSub>
                <m:sSubPr>
                  <m:ctrlPr>
                    <w:rPr>
                      <w:rFonts w:ascii="Cambria Math" w:eastAsia="Calibri" w:hAnsi="Cambria Math"/>
                      <w:sz w:val="20"/>
                      <w:szCs w:val="20"/>
                    </w:rPr>
                  </m:ctrlPr>
                </m:sSubPr>
                <m:e>
                  <m:r>
                    <w:rPr>
                      <w:rFonts w:ascii="Cambria Math" w:eastAsia="Calibri" w:hAnsi="Cambria Math"/>
                      <w:sz w:val="20"/>
                      <w:szCs w:val="20"/>
                    </w:rPr>
                    <m:t>p</m:t>
                  </m:r>
                </m:e>
                <m:sub>
                  <m:r>
                    <w:rPr>
                      <w:rFonts w:ascii="Cambria Math" w:eastAsia="Calibri" w:hAnsi="Cambria Math"/>
                      <w:sz w:val="20"/>
                      <w:szCs w:val="20"/>
                    </w:rPr>
                    <m:t>i</m:t>
                  </m:r>
                </m:sub>
              </m:sSub>
            </m:e>
          </m:d>
          <m:r>
            <m:rPr>
              <m:sty m:val="p"/>
            </m:rPr>
            <w:rPr>
              <w:rFonts w:ascii="Cambria Math" w:eastAsia="Calibri" w:hAnsi="Cambria Math"/>
              <w:sz w:val="20"/>
              <w:szCs w:val="20"/>
            </w:rPr>
            <m:t xml:space="preserve">+ </m:t>
          </m:r>
          <m:sSub>
            <m:sSubPr>
              <m:ctrlPr>
                <w:rPr>
                  <w:rFonts w:ascii="Cambria Math" w:eastAsia="Calibri" w:hAnsi="Cambria Math"/>
                  <w:sz w:val="20"/>
                  <w:szCs w:val="20"/>
                </w:rPr>
              </m:ctrlPr>
            </m:sSubPr>
            <m:e>
              <m:r>
                <w:rPr>
                  <w:rFonts w:ascii="Cambria Math" w:eastAsia="Calibri" w:hAnsi="Cambria Math"/>
                  <w:sz w:val="20"/>
                  <w:szCs w:val="20"/>
                </w:rPr>
                <m:t>β</m:t>
              </m:r>
            </m:e>
            <m:sub>
              <m:r>
                <m:rPr>
                  <m:sty m:val="p"/>
                </m:rPr>
                <w:rPr>
                  <w:rFonts w:ascii="Cambria Math" w:eastAsia="Calibri" w:hAnsi="Cambria Math"/>
                  <w:sz w:val="20"/>
                  <w:szCs w:val="20"/>
                </w:rPr>
                <m:t>2</m:t>
              </m:r>
            </m:sub>
          </m:sSub>
          <m:d>
            <m:dPr>
              <m:ctrlPr>
                <w:rPr>
                  <w:rFonts w:ascii="Cambria Math" w:eastAsia="Calibri" w:hAnsi="Cambria Math"/>
                  <w:sz w:val="20"/>
                  <w:szCs w:val="20"/>
                </w:rPr>
              </m:ctrlPr>
            </m:dPr>
            <m:e>
              <m:r>
                <w:rPr>
                  <w:rFonts w:ascii="Cambria Math" w:eastAsia="Calibri" w:hAnsi="Cambria Math"/>
                  <w:sz w:val="20"/>
                  <w:szCs w:val="20"/>
                </w:rPr>
                <m:t>Bloc</m:t>
              </m:r>
              <m:sSub>
                <m:sSubPr>
                  <m:ctrlPr>
                    <w:rPr>
                      <w:rFonts w:ascii="Cambria Math" w:eastAsia="Calibri" w:hAnsi="Cambria Math"/>
                      <w:sz w:val="20"/>
                      <w:szCs w:val="20"/>
                    </w:rPr>
                  </m:ctrlPr>
                </m:sSubPr>
                <m:e>
                  <m:r>
                    <w:rPr>
                      <w:rFonts w:ascii="Cambria Math" w:eastAsia="Calibri" w:hAnsi="Cambria Math"/>
                      <w:sz w:val="20"/>
                      <w:szCs w:val="20"/>
                    </w:rPr>
                    <m:t>k</m:t>
                  </m:r>
                </m:e>
                <m:sub>
                  <m:r>
                    <w:rPr>
                      <w:rFonts w:ascii="Cambria Math" w:eastAsia="Calibri" w:hAnsi="Cambria Math"/>
                      <w:sz w:val="20"/>
                      <w:szCs w:val="20"/>
                    </w:rPr>
                    <m:t>ij</m:t>
                  </m:r>
                </m:sub>
              </m:sSub>
            </m:e>
          </m:d>
          <m:r>
            <m:rPr>
              <m:sty m:val="p"/>
            </m:rPr>
            <w:rPr>
              <w:rFonts w:ascii="Cambria Math" w:eastAsia="Calibri" w:hAnsi="Cambria Math"/>
              <w:sz w:val="20"/>
              <w:szCs w:val="20"/>
            </w:rPr>
            <m:t>+</m:t>
          </m:r>
          <m:sSub>
            <m:sSubPr>
              <m:ctrlPr>
                <w:rPr>
                  <w:rFonts w:ascii="Cambria Math" w:eastAsia="Calibri" w:hAnsi="Cambria Math"/>
                  <w:sz w:val="20"/>
                  <w:szCs w:val="20"/>
                </w:rPr>
              </m:ctrlPr>
            </m:sSubPr>
            <m:e>
              <m:r>
                <w:rPr>
                  <w:rFonts w:ascii="Cambria Math" w:eastAsia="Calibri" w:hAnsi="Cambria Math"/>
                  <w:sz w:val="20"/>
                  <w:szCs w:val="20"/>
                </w:rPr>
                <m:t>β</m:t>
              </m:r>
            </m:e>
            <m:sub>
              <m:r>
                <m:rPr>
                  <m:sty m:val="p"/>
                </m:rPr>
                <w:rPr>
                  <w:rFonts w:ascii="Cambria Math" w:eastAsia="Calibri" w:hAnsi="Cambria Math"/>
                  <w:sz w:val="20"/>
                  <w:szCs w:val="20"/>
                </w:rPr>
                <m:t>3</m:t>
              </m:r>
            </m:sub>
          </m:sSub>
          <m:d>
            <m:dPr>
              <m:ctrlPr>
                <w:rPr>
                  <w:rFonts w:ascii="Cambria Math" w:eastAsia="Calibri" w:hAnsi="Cambria Math"/>
                  <w:sz w:val="20"/>
                  <w:szCs w:val="20"/>
                </w:rPr>
              </m:ctrlPr>
            </m:dPr>
            <m:e>
              <m:r>
                <w:rPr>
                  <w:rFonts w:ascii="Cambria Math" w:eastAsia="Calibri" w:hAnsi="Cambria Math"/>
                  <w:sz w:val="20"/>
                  <w:szCs w:val="20"/>
                </w:rPr>
                <m:t>Grou</m:t>
              </m:r>
              <m:sSub>
                <m:sSubPr>
                  <m:ctrlPr>
                    <w:rPr>
                      <w:rFonts w:ascii="Cambria Math" w:eastAsia="Calibri" w:hAnsi="Cambria Math"/>
                      <w:sz w:val="20"/>
                      <w:szCs w:val="20"/>
                    </w:rPr>
                  </m:ctrlPr>
                </m:sSubPr>
                <m:e>
                  <m:r>
                    <w:rPr>
                      <w:rFonts w:ascii="Cambria Math" w:eastAsia="Calibri" w:hAnsi="Cambria Math"/>
                      <w:sz w:val="20"/>
                      <w:szCs w:val="20"/>
                    </w:rPr>
                    <m:t>p</m:t>
                  </m:r>
                </m:e>
                <m:sub>
                  <m:r>
                    <w:rPr>
                      <w:rFonts w:ascii="Cambria Math" w:eastAsia="Calibri" w:hAnsi="Cambria Math"/>
                      <w:sz w:val="20"/>
                      <w:szCs w:val="20"/>
                    </w:rPr>
                    <m:t>i</m:t>
                  </m:r>
                </m:sub>
              </m:sSub>
              <m:r>
                <m:rPr>
                  <m:sty m:val="p"/>
                </m:rPr>
                <w:rPr>
                  <w:rFonts w:ascii="Cambria Math" w:eastAsia="Calibri" w:hAnsi="Cambria Math"/>
                  <w:sz w:val="20"/>
                  <w:szCs w:val="20"/>
                </w:rPr>
                <m:t>×</m:t>
              </m:r>
              <m:r>
                <w:rPr>
                  <w:rFonts w:ascii="Cambria Math" w:eastAsia="Calibri" w:hAnsi="Cambria Math"/>
                  <w:sz w:val="20"/>
                  <w:szCs w:val="20"/>
                </w:rPr>
                <m:t>Bloc</m:t>
              </m:r>
              <m:sSub>
                <m:sSubPr>
                  <m:ctrlPr>
                    <w:rPr>
                      <w:rFonts w:ascii="Cambria Math" w:eastAsia="Calibri" w:hAnsi="Cambria Math"/>
                      <w:sz w:val="20"/>
                      <w:szCs w:val="20"/>
                    </w:rPr>
                  </m:ctrlPr>
                </m:sSubPr>
                <m:e>
                  <m:r>
                    <w:rPr>
                      <w:rFonts w:ascii="Cambria Math" w:eastAsia="Calibri" w:hAnsi="Cambria Math"/>
                      <w:sz w:val="20"/>
                      <w:szCs w:val="20"/>
                    </w:rPr>
                    <m:t>k</m:t>
                  </m:r>
                </m:e>
                <m:sub>
                  <m:r>
                    <w:rPr>
                      <w:rFonts w:ascii="Cambria Math" w:eastAsia="Calibri" w:hAnsi="Cambria Math"/>
                      <w:sz w:val="20"/>
                      <w:szCs w:val="20"/>
                    </w:rPr>
                    <m:t>ij</m:t>
                  </m:r>
                </m:sub>
              </m:sSub>
            </m:e>
          </m:d>
          <m:r>
            <m:rPr>
              <m:sty m:val="p"/>
            </m:rPr>
            <w:rPr>
              <w:rFonts w:ascii="Cambria Math" w:eastAsia="Calibri" w:hAnsi="Cambria Math"/>
              <w:sz w:val="20"/>
              <w:szCs w:val="20"/>
            </w:rPr>
            <m:t>+</m:t>
          </m:r>
          <m:sSub>
            <m:sSubPr>
              <m:ctrlPr>
                <w:rPr>
                  <w:rFonts w:ascii="Cambria Math" w:eastAsia="Calibri" w:hAnsi="Cambria Math"/>
                  <w:sz w:val="20"/>
                  <w:szCs w:val="20"/>
                </w:rPr>
              </m:ctrlPr>
            </m:sSubPr>
            <m:e>
              <m:r>
                <w:rPr>
                  <w:rFonts w:ascii="Cambria Math" w:eastAsia="Calibri" w:hAnsi="Cambria Math"/>
                  <w:sz w:val="20"/>
                  <w:szCs w:val="20"/>
                </w:rPr>
                <m:t>β</m:t>
              </m:r>
            </m:e>
            <m:sub>
              <m:r>
                <m:rPr>
                  <m:sty m:val="p"/>
                </m:rPr>
                <w:rPr>
                  <w:rFonts w:ascii="Cambria Math" w:eastAsia="Calibri" w:hAnsi="Cambria Math"/>
                  <w:sz w:val="20"/>
                  <w:szCs w:val="20"/>
                </w:rPr>
                <m:t>4</m:t>
              </m:r>
            </m:sub>
          </m:sSub>
          <m:d>
            <m:dPr>
              <m:ctrlPr>
                <w:rPr>
                  <w:rFonts w:ascii="Cambria Math" w:eastAsia="Calibri" w:hAnsi="Cambria Math"/>
                  <w:sz w:val="20"/>
                  <w:szCs w:val="20"/>
                </w:rPr>
              </m:ctrlPr>
            </m:dPr>
            <m:e>
              <m:r>
                <w:rPr>
                  <w:rFonts w:ascii="Cambria Math" w:eastAsia="Calibri" w:hAnsi="Cambria Math"/>
                  <w:sz w:val="20"/>
                  <w:szCs w:val="20"/>
                </w:rPr>
                <m:t>Se</m:t>
              </m:r>
              <m:sSub>
                <m:sSubPr>
                  <m:ctrlPr>
                    <w:rPr>
                      <w:rFonts w:ascii="Cambria Math" w:eastAsia="Calibri" w:hAnsi="Cambria Math"/>
                      <w:sz w:val="20"/>
                      <w:szCs w:val="20"/>
                    </w:rPr>
                  </m:ctrlPr>
                </m:sSubPr>
                <m:e>
                  <m:r>
                    <w:rPr>
                      <w:rFonts w:ascii="Cambria Math" w:eastAsia="Calibri" w:hAnsi="Cambria Math"/>
                      <w:sz w:val="20"/>
                      <w:szCs w:val="20"/>
                    </w:rPr>
                    <m:t>x</m:t>
                  </m:r>
                </m:e>
                <m:sub>
                  <m:r>
                    <w:rPr>
                      <w:rFonts w:ascii="Cambria Math" w:eastAsia="Calibri" w:hAnsi="Cambria Math"/>
                      <w:sz w:val="20"/>
                      <w:szCs w:val="20"/>
                    </w:rPr>
                    <m:t>i</m:t>
                  </m:r>
                </m:sub>
              </m:sSub>
            </m:e>
          </m:d>
          <m:r>
            <m:rPr>
              <m:sty m:val="p"/>
            </m:rPr>
            <w:rPr>
              <w:rFonts w:ascii="Cambria Math" w:eastAsia="Calibri" w:hAnsi="Cambria Math"/>
              <w:sz w:val="20"/>
              <w:szCs w:val="20"/>
            </w:rPr>
            <m:t>+</m:t>
          </m:r>
          <m:sSub>
            <m:sSubPr>
              <m:ctrlPr>
                <w:rPr>
                  <w:rFonts w:ascii="Cambria Math" w:eastAsia="Calibri" w:hAnsi="Cambria Math"/>
                  <w:sz w:val="20"/>
                  <w:szCs w:val="20"/>
                </w:rPr>
              </m:ctrlPr>
            </m:sSubPr>
            <m:e>
              <m:r>
                <w:rPr>
                  <w:rFonts w:ascii="Cambria Math" w:eastAsia="Calibri" w:hAnsi="Cambria Math"/>
                  <w:sz w:val="20"/>
                  <w:szCs w:val="20"/>
                </w:rPr>
                <m:t>β</m:t>
              </m:r>
            </m:e>
            <m:sub>
              <m:r>
                <m:rPr>
                  <m:sty m:val="p"/>
                </m:rPr>
                <w:rPr>
                  <w:rFonts w:ascii="Cambria Math" w:eastAsia="Calibri" w:hAnsi="Cambria Math"/>
                  <w:sz w:val="20"/>
                  <w:szCs w:val="20"/>
                </w:rPr>
                <m:t>5</m:t>
              </m:r>
            </m:sub>
          </m:sSub>
          <m:d>
            <m:dPr>
              <m:ctrlPr>
                <w:rPr>
                  <w:rFonts w:ascii="Cambria Math" w:eastAsia="Calibri" w:hAnsi="Cambria Math"/>
                  <w:sz w:val="20"/>
                  <w:szCs w:val="20"/>
                </w:rPr>
              </m:ctrlPr>
            </m:dPr>
            <m:e>
              <m:r>
                <w:rPr>
                  <w:rFonts w:ascii="Cambria Math" w:eastAsia="Calibri" w:hAnsi="Cambria Math"/>
                  <w:sz w:val="20"/>
                  <w:szCs w:val="20"/>
                </w:rPr>
                <m:t>Ag</m:t>
              </m:r>
              <m:sSub>
                <m:sSubPr>
                  <m:ctrlPr>
                    <w:rPr>
                      <w:rFonts w:ascii="Cambria Math" w:eastAsia="Calibri" w:hAnsi="Cambria Math"/>
                      <w:sz w:val="20"/>
                      <w:szCs w:val="20"/>
                    </w:rPr>
                  </m:ctrlPr>
                </m:sSubPr>
                <m:e>
                  <m:r>
                    <w:rPr>
                      <w:rFonts w:ascii="Cambria Math" w:eastAsia="Calibri" w:hAnsi="Cambria Math"/>
                      <w:sz w:val="20"/>
                      <w:szCs w:val="20"/>
                    </w:rPr>
                    <m:t>e</m:t>
                  </m:r>
                </m:e>
                <m:sub>
                  <m:r>
                    <w:rPr>
                      <w:rFonts w:ascii="Cambria Math" w:eastAsia="Calibri" w:hAnsi="Cambria Math"/>
                      <w:sz w:val="20"/>
                      <w:szCs w:val="20"/>
                    </w:rPr>
                    <m:t>i</m:t>
                  </m:r>
                </m:sub>
              </m:sSub>
            </m:e>
          </m:d>
          <m:r>
            <m:rPr>
              <m:sty m:val="p"/>
            </m:rPr>
            <w:rPr>
              <w:rFonts w:ascii="Cambria Math" w:eastAsia="Calibri" w:hAnsi="Cambria Math"/>
              <w:sz w:val="20"/>
              <w:szCs w:val="20"/>
            </w:rPr>
            <m:t>+</m:t>
          </m:r>
          <m:sSub>
            <m:sSubPr>
              <m:ctrlPr>
                <w:rPr>
                  <w:rFonts w:ascii="Cambria Math" w:eastAsia="Calibri" w:hAnsi="Cambria Math"/>
                  <w:sz w:val="20"/>
                  <w:szCs w:val="20"/>
                </w:rPr>
              </m:ctrlPr>
            </m:sSubPr>
            <m:e>
              <m:r>
                <w:rPr>
                  <w:rFonts w:ascii="Cambria Math" w:eastAsia="Calibri" w:hAnsi="Cambria Math"/>
                  <w:sz w:val="20"/>
                  <w:szCs w:val="20"/>
                </w:rPr>
                <m:t>u</m:t>
              </m:r>
            </m:e>
            <m:sub>
              <m:r>
                <m:rPr>
                  <m:sty m:val="p"/>
                </m:rPr>
                <w:rPr>
                  <w:rFonts w:ascii="Cambria Math" w:eastAsia="Calibri" w:hAnsi="Cambria Math"/>
                  <w:sz w:val="20"/>
                  <w:szCs w:val="20"/>
                </w:rPr>
                <m:t>0</m:t>
              </m:r>
              <m:r>
                <w:rPr>
                  <w:rFonts w:ascii="Cambria Math" w:eastAsia="Calibri" w:hAnsi="Cambria Math"/>
                  <w:sz w:val="20"/>
                  <w:szCs w:val="20"/>
                </w:rPr>
                <m:t>i</m:t>
              </m:r>
            </m:sub>
          </m:sSub>
          <m:r>
            <m:rPr>
              <m:sty m:val="p"/>
            </m:rPr>
            <w:rPr>
              <w:rFonts w:ascii="Cambria Math" w:eastAsia="Calibri" w:hAnsi="Cambria Math"/>
              <w:sz w:val="20"/>
              <w:szCs w:val="20"/>
            </w:rPr>
            <m:t>+</m:t>
          </m:r>
          <m:sSub>
            <m:sSubPr>
              <m:ctrlPr>
                <w:rPr>
                  <w:rFonts w:ascii="Cambria Math" w:eastAsia="Calibri" w:hAnsi="Cambria Math"/>
                  <w:sz w:val="20"/>
                  <w:szCs w:val="20"/>
                </w:rPr>
              </m:ctrlPr>
            </m:sSubPr>
            <m:e>
              <m:r>
                <w:rPr>
                  <w:rFonts w:ascii="Cambria Math" w:eastAsia="Calibri" w:hAnsi="Cambria Math"/>
                  <w:sz w:val="20"/>
                  <w:szCs w:val="20"/>
                </w:rPr>
                <m:t>ϵ</m:t>
              </m:r>
            </m:e>
            <m:sub>
              <m:r>
                <w:rPr>
                  <w:rFonts w:ascii="Cambria Math" w:eastAsia="Calibri" w:hAnsi="Cambria Math"/>
                  <w:sz w:val="20"/>
                  <w:szCs w:val="20"/>
                </w:rPr>
                <m:t>ij</m:t>
              </m:r>
            </m:sub>
          </m:sSub>
        </m:oMath>
      </m:oMathPara>
    </w:p>
    <w:p w14:paraId="18EFCB0E" w14:textId="77777777" w:rsidR="00240667" w:rsidRPr="009D1BC4" w:rsidRDefault="00240667" w:rsidP="009D1BC4">
      <w:pPr>
        <w:jc w:val="both"/>
        <w:rPr>
          <w:rFonts w:ascii="Helvetica" w:eastAsia="Calibri" w:hAnsi="Helvetica"/>
          <w:sz w:val="20"/>
          <w:szCs w:val="20"/>
        </w:rPr>
      </w:pPr>
    </w:p>
    <w:p w14:paraId="5F1FD7E4" w14:textId="5F7E8797" w:rsidR="00240667" w:rsidRPr="009D1BC4" w:rsidRDefault="00240667" w:rsidP="009D1BC4">
      <w:pPr>
        <w:pStyle w:val="BodyText"/>
        <w:jc w:val="both"/>
        <w:rPr>
          <w:rFonts w:ascii="Helvetica" w:hAnsi="Helvetica" w:cs="Arial"/>
          <w:sz w:val="20"/>
          <w:szCs w:val="20"/>
        </w:rPr>
      </w:pPr>
      <w:r w:rsidRPr="009D1BC4">
        <w:rPr>
          <w:rFonts w:ascii="Helvetica" w:hAnsi="Helvetica" w:cs="Arial"/>
          <w:sz w:val="20"/>
          <w:szCs w:val="20"/>
        </w:rPr>
        <w:t xml:space="preserve">The dependent variable was the trial-specific </w:t>
      </w:r>
      <m:oMath>
        <m:r>
          <m:rPr>
            <m:sty m:val="p"/>
          </m:rPr>
          <w:rPr>
            <w:rFonts w:ascii="Cambria Math" w:hAnsi="Cambria Math" w:cs="Arial"/>
            <w:sz w:val="20"/>
            <w:szCs w:val="20"/>
          </w:rPr>
          <m:t>(</m:t>
        </m:r>
        <m:r>
          <w:rPr>
            <w:rFonts w:ascii="Cambria Math" w:hAnsi="Cambria Math" w:cs="Arial"/>
            <w:sz w:val="20"/>
            <w:szCs w:val="20"/>
          </w:rPr>
          <m:t>j</m:t>
        </m:r>
        <m:r>
          <m:rPr>
            <m:sty m:val="p"/>
          </m:rPr>
          <w:rPr>
            <w:rFonts w:ascii="Cambria Math" w:hAnsi="Cambria Math" w:cs="Arial"/>
            <w:sz w:val="20"/>
            <w:szCs w:val="20"/>
          </w:rPr>
          <m:t>)</m:t>
        </m:r>
      </m:oMath>
      <w:r w:rsidRPr="009D1BC4">
        <w:rPr>
          <w:rFonts w:ascii="Helvetica" w:hAnsi="Helvetica" w:cs="Arial"/>
          <w:sz w:val="20"/>
          <w:szCs w:val="20"/>
        </w:rPr>
        <w:t xml:space="preserve"> absolute prediction errors (</w:t>
      </w:r>
      <m:oMath>
        <m:d>
          <m:dPr>
            <m:begChr m:val="|"/>
            <m:endChr m:val="|"/>
            <m:ctrlPr>
              <w:rPr>
                <w:rFonts w:ascii="Cambria Math" w:hAnsi="Cambria Math" w:cs="Arial"/>
                <w:sz w:val="20"/>
                <w:szCs w:val="20"/>
                <w:lang w:eastAsia="en-US"/>
                <w14:ligatures w14:val="none"/>
              </w:rPr>
            </m:ctrlPr>
          </m:dPr>
          <m:e>
            <m:r>
              <w:rPr>
                <w:rFonts w:ascii="Cambria Math" w:hAnsi="Cambria Math" w:cs="Arial"/>
                <w:sz w:val="20"/>
                <w:szCs w:val="20"/>
              </w:rPr>
              <m:t>PE</m:t>
            </m:r>
          </m:e>
        </m:d>
      </m:oMath>
      <w:r w:rsidRPr="009D1BC4">
        <w:rPr>
          <w:rFonts w:ascii="Helvetica" w:hAnsi="Helvetica" w:cs="Arial"/>
          <w:sz w:val="20"/>
          <w:szCs w:val="20"/>
        </w:rPr>
        <w:t xml:space="preserve">) for the subject </w:t>
      </w:r>
      <m:oMath>
        <m:r>
          <w:rPr>
            <w:rFonts w:ascii="Cambria Math" w:hAnsi="Cambria Math" w:cs="Arial"/>
            <w:sz w:val="20"/>
            <w:szCs w:val="20"/>
          </w:rPr>
          <m:t>i</m:t>
        </m:r>
      </m:oMath>
      <w:r w:rsidRPr="009D1BC4">
        <w:rPr>
          <w:rFonts w:ascii="Helvetica" w:hAnsi="Helvetica" w:cs="Arial"/>
          <w:sz w:val="20"/>
          <w:szCs w:val="20"/>
        </w:rPr>
        <w:t xml:space="preserve">. The model included categorical fixed main effects for diagnostic </w:t>
      </w:r>
      <m:oMath>
        <m:r>
          <w:rPr>
            <w:rFonts w:ascii="Cambria Math" w:hAnsi="Cambria Math" w:cs="Arial"/>
            <w:sz w:val="20"/>
            <w:szCs w:val="20"/>
          </w:rPr>
          <m:t>Group</m:t>
        </m:r>
      </m:oMath>
      <w:r w:rsidRPr="009D1BC4">
        <w:rPr>
          <w:rFonts w:ascii="Helvetica" w:hAnsi="Helvetica" w:cs="Arial"/>
          <w:sz w:val="20"/>
          <w:szCs w:val="20"/>
        </w:rPr>
        <w:t xml:space="preserve"> (HC vs SZ), Task Block (</w:t>
      </w:r>
      <m:oMath>
        <m:r>
          <w:rPr>
            <w:rFonts w:ascii="Cambria Math" w:hAnsi="Cambria Math" w:cs="Arial"/>
            <w:sz w:val="20"/>
            <w:szCs w:val="20"/>
          </w:rPr>
          <m:t>Block</m:t>
        </m:r>
      </m:oMath>
      <w:r w:rsidRPr="009D1BC4">
        <w:rPr>
          <w:rFonts w:ascii="Helvetica" w:hAnsi="Helvetica" w:cs="Arial"/>
          <w:sz w:val="20"/>
          <w:szCs w:val="20"/>
        </w:rPr>
        <w:t>, Trials 1-20, 21-40 and 41-60), and their interaction (</w:t>
      </w:r>
      <m:oMath>
        <m:r>
          <w:rPr>
            <w:rFonts w:ascii="Cambria Math" w:hAnsi="Cambria Math" w:cs="Arial"/>
            <w:sz w:val="20"/>
            <w:szCs w:val="20"/>
          </w:rPr>
          <m:t>Group</m:t>
        </m:r>
        <m:r>
          <m:rPr>
            <m:sty m:val="p"/>
          </m:rPr>
          <w:rPr>
            <w:rFonts w:ascii="Cambria Math" w:hAnsi="Cambria Math" w:cs="Arial"/>
            <w:sz w:val="20"/>
            <w:szCs w:val="20"/>
          </w:rPr>
          <m:t xml:space="preserve"> × </m:t>
        </m:r>
        <m:r>
          <w:rPr>
            <w:rFonts w:ascii="Cambria Math" w:hAnsi="Cambria Math" w:cs="Arial"/>
            <w:sz w:val="20"/>
            <w:szCs w:val="20"/>
          </w:rPr>
          <m:t>Block</m:t>
        </m:r>
      </m:oMath>
      <w:r w:rsidRPr="009D1BC4">
        <w:rPr>
          <w:rFonts w:ascii="Helvetica" w:hAnsi="Helvetica" w:cs="Arial"/>
          <w:sz w:val="20"/>
          <w:szCs w:val="20"/>
        </w:rPr>
        <w:t xml:space="preserve">). To control </w:t>
      </w:r>
      <w:r w:rsidR="00525968" w:rsidRPr="009D1BC4">
        <w:rPr>
          <w:rFonts w:ascii="Helvetica" w:hAnsi="Helvetica" w:cs="Arial"/>
          <w:sz w:val="20"/>
          <w:szCs w:val="20"/>
        </w:rPr>
        <w:t xml:space="preserve">for potential demographic confounding, participants </w:t>
      </w:r>
      <m:oMath>
        <m:r>
          <w:rPr>
            <w:rFonts w:ascii="Cambria Math" w:hAnsi="Cambria Math" w:cs="Arial"/>
            <w:sz w:val="20"/>
            <w:szCs w:val="20"/>
          </w:rPr>
          <m:t>Sex</m:t>
        </m:r>
      </m:oMath>
      <w:r w:rsidR="00525968" w:rsidRPr="009D1BC4">
        <w:rPr>
          <w:rFonts w:ascii="Helvetica" w:hAnsi="Helvetica" w:cs="Arial"/>
          <w:sz w:val="20"/>
          <w:szCs w:val="20"/>
        </w:rPr>
        <w:t xml:space="preserve"> and standardized </w:t>
      </w:r>
      <m:oMath>
        <m:r>
          <w:rPr>
            <w:rFonts w:ascii="Cambria Math" w:hAnsi="Cambria Math" w:cs="Arial"/>
            <w:sz w:val="20"/>
            <w:szCs w:val="20"/>
          </w:rPr>
          <m:t>Age</m:t>
        </m:r>
      </m:oMath>
      <w:r w:rsidR="00525968" w:rsidRPr="009D1BC4">
        <w:rPr>
          <w:rFonts w:ascii="Helvetica" w:hAnsi="Helvetica" w:cs="Arial"/>
          <w:sz w:val="20"/>
          <w:szCs w:val="20"/>
        </w:rPr>
        <w:t xml:space="preserve"> (z-scored) were included as fixed-effect covariates. </w:t>
      </w:r>
      <w:r w:rsidR="005D3748" w:rsidRPr="009D1BC4">
        <w:rPr>
          <w:rFonts w:ascii="Helvetica" w:hAnsi="Helvetica" w:cs="Arial"/>
          <w:sz w:val="20"/>
          <w:szCs w:val="20"/>
        </w:rPr>
        <w:t>To appropriately model within-subject correlation and baseline individual differences in surprise, a random intercept for Subject (</w:t>
      </w:r>
      <m:oMath>
        <m:sSub>
          <m:sSubPr>
            <m:ctrlPr>
              <w:rPr>
                <w:rFonts w:ascii="Cambria Math" w:hAnsi="Cambria Math" w:cs="Arial"/>
                <w:sz w:val="20"/>
                <w:szCs w:val="20"/>
              </w:rPr>
            </m:ctrlPr>
          </m:sSubPr>
          <m:e>
            <m:r>
              <w:rPr>
                <w:rFonts w:ascii="Cambria Math" w:hAnsi="Cambria Math" w:cs="Arial"/>
                <w:sz w:val="20"/>
                <w:szCs w:val="20"/>
              </w:rPr>
              <m:t>u</m:t>
            </m:r>
          </m:e>
          <m:sub>
            <m:r>
              <m:rPr>
                <m:sty m:val="p"/>
              </m:rPr>
              <w:rPr>
                <w:rFonts w:ascii="Cambria Math" w:hAnsi="Cambria Math" w:cs="Arial"/>
                <w:sz w:val="20"/>
                <w:szCs w:val="20"/>
              </w:rPr>
              <m:t>0</m:t>
            </m:r>
            <m:r>
              <w:rPr>
                <w:rFonts w:ascii="Cambria Math" w:hAnsi="Cambria Math" w:cs="Arial"/>
                <w:sz w:val="20"/>
                <w:szCs w:val="20"/>
              </w:rPr>
              <m:t>i</m:t>
            </m:r>
          </m:sub>
        </m:sSub>
        <m:r>
          <m:rPr>
            <m:sty m:val="p"/>
          </m:rPr>
          <w:rPr>
            <w:rFonts w:ascii="Cambria Math" w:hAnsi="Cambria Math" w:cs="Arial"/>
            <w:sz w:val="20"/>
            <w:szCs w:val="20"/>
          </w:rPr>
          <m:t>)</m:t>
        </m:r>
      </m:oMath>
      <w:r w:rsidR="005D3748" w:rsidRPr="009D1BC4">
        <w:rPr>
          <w:rFonts w:ascii="Helvetica" w:hAnsi="Helvetica" w:cs="Arial"/>
          <w:sz w:val="20"/>
          <w:szCs w:val="20"/>
        </w:rPr>
        <w:t xml:space="preserve"> was specified. </w:t>
      </w:r>
      <w:r w:rsidR="00E24FE0" w:rsidRPr="009D1BC4">
        <w:rPr>
          <w:rFonts w:ascii="Helvetica" w:hAnsi="Helvetica" w:cs="Arial"/>
          <w:sz w:val="20"/>
          <w:szCs w:val="20"/>
        </w:rPr>
        <w:t xml:space="preserve">Prior to analysis, </w:t>
      </w:r>
      <m:oMath>
        <m:d>
          <m:dPr>
            <m:begChr m:val="|"/>
            <m:endChr m:val="|"/>
            <m:ctrlPr>
              <w:rPr>
                <w:rFonts w:ascii="Cambria Math" w:hAnsi="Cambria Math" w:cs="Arial"/>
                <w:sz w:val="20"/>
                <w:szCs w:val="20"/>
                <w:lang w:eastAsia="en-US"/>
                <w14:ligatures w14:val="none"/>
              </w:rPr>
            </m:ctrlPr>
          </m:dPr>
          <m:e>
            <m:r>
              <w:rPr>
                <w:rFonts w:ascii="Cambria Math" w:hAnsi="Cambria Math" w:cs="Arial"/>
                <w:sz w:val="20"/>
                <w:szCs w:val="20"/>
              </w:rPr>
              <m:t>PE</m:t>
            </m:r>
          </m:e>
        </m:d>
      </m:oMath>
      <w:r w:rsidR="00CD695B" w:rsidRPr="009D1BC4">
        <w:rPr>
          <w:rFonts w:ascii="Helvetica" w:hAnsi="Helvetica" w:cs="Arial"/>
          <w:sz w:val="20"/>
          <w:szCs w:val="20"/>
          <w:lang w:eastAsia="en-US"/>
          <w14:ligatures w14:val="none"/>
        </w:rPr>
        <w:t xml:space="preserve"> </w:t>
      </w:r>
      <w:r w:rsidR="00E24FE0" w:rsidRPr="009D1BC4">
        <w:rPr>
          <w:rFonts w:ascii="Helvetica" w:hAnsi="Helvetica" w:cs="Arial"/>
          <w:sz w:val="20"/>
          <w:szCs w:val="20"/>
        </w:rPr>
        <w:t xml:space="preserve">values were standardized (z-scored) within the sample to ensure optimizer convergence and stabilize variance estimates. </w:t>
      </w:r>
    </w:p>
    <w:p w14:paraId="553E03FB" w14:textId="3CE9599E" w:rsidR="00231171" w:rsidRPr="009D1BC4" w:rsidRDefault="00231171" w:rsidP="009D1BC4">
      <w:pPr>
        <w:pStyle w:val="Duz2"/>
        <w:jc w:val="both"/>
        <w:rPr>
          <w:rFonts w:ascii="Helvetica" w:eastAsia="Calibri" w:hAnsi="Helvetica"/>
          <w:bCs/>
          <w:sz w:val="20"/>
          <w:szCs w:val="20"/>
        </w:rPr>
      </w:pPr>
      <w:r w:rsidRPr="009D1BC4">
        <w:rPr>
          <w:rFonts w:ascii="Helvetica" w:eastAsia="Calibri" w:hAnsi="Helvetica"/>
          <w:bCs/>
          <w:sz w:val="20"/>
          <w:szCs w:val="20"/>
        </w:rPr>
        <w:t>2.</w:t>
      </w:r>
      <w:r w:rsidR="00175B9A" w:rsidRPr="009D1BC4">
        <w:rPr>
          <w:rFonts w:ascii="Helvetica" w:eastAsia="Calibri" w:hAnsi="Helvetica"/>
          <w:bCs/>
          <w:sz w:val="20"/>
          <w:szCs w:val="20"/>
        </w:rPr>
        <w:t>5</w:t>
      </w:r>
      <w:r w:rsidRPr="009D1BC4">
        <w:rPr>
          <w:rFonts w:ascii="Helvetica" w:eastAsia="Calibri" w:hAnsi="Helvetica"/>
          <w:bCs/>
          <w:sz w:val="20"/>
          <w:szCs w:val="20"/>
        </w:rPr>
        <w:t xml:space="preserve"> fMRI Data Acquisition and Preprocessing </w:t>
      </w:r>
    </w:p>
    <w:p w14:paraId="680D2517" w14:textId="05793B39" w:rsidR="00240667" w:rsidRPr="009D1BC4" w:rsidRDefault="002F535A" w:rsidP="009D1BC4">
      <w:pPr>
        <w:jc w:val="both"/>
        <w:rPr>
          <w:rFonts w:ascii="Helvetica" w:eastAsia="Calibri" w:hAnsi="Helvetica"/>
          <w:sz w:val="20"/>
          <w:szCs w:val="20"/>
        </w:rPr>
      </w:pPr>
      <w:r w:rsidRPr="009D1BC4">
        <w:rPr>
          <w:rFonts w:ascii="Helvetica" w:eastAsia="Calibri" w:hAnsi="Helvetica"/>
          <w:sz w:val="20"/>
          <w:szCs w:val="20"/>
        </w:rPr>
        <w:t xml:space="preserve">Functional imaging (fMRI) was performed using a 3.0-Tesla scanner. Full acquisition parameters are detailed in the Supplementary Material. Standard preprocessing was conducted using SPM, including spatial realignment, normalization to MNI space, spatial smoothing and offline motion parameter </w:t>
      </w:r>
      <w:r w:rsidR="00D56E2A" w:rsidRPr="009D1BC4">
        <w:rPr>
          <w:rFonts w:ascii="Helvetica" w:eastAsia="Calibri" w:hAnsi="Helvetica"/>
          <w:sz w:val="20"/>
          <w:szCs w:val="20"/>
        </w:rPr>
        <w:t>regression (</w:t>
      </w:r>
      <w:r w:rsidRPr="009D1BC4">
        <w:rPr>
          <w:rFonts w:ascii="Helvetica" w:eastAsia="Calibri" w:hAnsi="Helvetica"/>
          <w:sz w:val="20"/>
          <w:szCs w:val="20"/>
        </w:rPr>
        <w:t>see Supplementary Material).</w:t>
      </w:r>
    </w:p>
    <w:p w14:paraId="6C84DCF2" w14:textId="1027F5CB" w:rsidR="008D68DF" w:rsidRPr="009D1BC4" w:rsidRDefault="008D68DF" w:rsidP="009D1BC4">
      <w:pPr>
        <w:pStyle w:val="Duz2"/>
        <w:jc w:val="both"/>
        <w:rPr>
          <w:rFonts w:ascii="Helvetica" w:eastAsia="Calibri" w:hAnsi="Helvetica"/>
          <w:bCs/>
          <w:sz w:val="20"/>
          <w:szCs w:val="20"/>
        </w:rPr>
      </w:pPr>
      <w:r w:rsidRPr="009D1BC4">
        <w:rPr>
          <w:rFonts w:ascii="Helvetica" w:eastAsia="Calibri" w:hAnsi="Helvetica"/>
          <w:bCs/>
          <w:sz w:val="20"/>
          <w:szCs w:val="20"/>
        </w:rPr>
        <w:t>2.</w:t>
      </w:r>
      <w:r w:rsidR="00175B9A" w:rsidRPr="009D1BC4">
        <w:rPr>
          <w:rFonts w:ascii="Helvetica" w:eastAsia="Calibri" w:hAnsi="Helvetica"/>
          <w:bCs/>
          <w:sz w:val="20"/>
          <w:szCs w:val="20"/>
        </w:rPr>
        <w:t>6</w:t>
      </w:r>
      <w:r w:rsidRPr="009D1BC4">
        <w:rPr>
          <w:rFonts w:ascii="Helvetica" w:eastAsia="Calibri" w:hAnsi="Helvetica"/>
          <w:bCs/>
          <w:sz w:val="20"/>
          <w:szCs w:val="20"/>
        </w:rPr>
        <w:t xml:space="preserve"> fMRI Statistical Analysis</w:t>
      </w:r>
    </w:p>
    <w:p w14:paraId="38397E30" w14:textId="5EEEEB18" w:rsidR="008D68DF" w:rsidRPr="009D1BC4" w:rsidRDefault="008D68DF" w:rsidP="009D1BC4">
      <w:pPr>
        <w:jc w:val="both"/>
        <w:rPr>
          <w:rFonts w:ascii="Helvetica" w:eastAsia="Calibri" w:hAnsi="Helvetica"/>
          <w:sz w:val="20"/>
          <w:szCs w:val="20"/>
        </w:rPr>
      </w:pPr>
      <w:r w:rsidRPr="009D1BC4">
        <w:rPr>
          <w:rFonts w:ascii="Helvetica" w:eastAsia="Calibri" w:hAnsi="Helvetica"/>
          <w:sz w:val="20"/>
          <w:szCs w:val="20"/>
        </w:rPr>
        <w:t>First-level General Linear Models (GLM) captured task-related BOLD responses. Crucially, trial-by-trial Prediction Errors (PE) were entered as an orthogonalized parametric modulator on the feedback onset to isolate computational learning signals. Second-level analyses evaluated group differences (Healthy Controls</w:t>
      </w:r>
      <w:r w:rsidR="002F535A" w:rsidRPr="009D1BC4">
        <w:rPr>
          <w:rFonts w:ascii="Helvetica" w:eastAsia="Calibri" w:hAnsi="Helvetica"/>
          <w:sz w:val="20"/>
          <w:szCs w:val="20"/>
        </w:rPr>
        <w:t xml:space="preserve"> (HC)</w:t>
      </w:r>
      <w:r w:rsidRPr="009D1BC4">
        <w:rPr>
          <w:rFonts w:ascii="Helvetica" w:eastAsia="Calibri" w:hAnsi="Helvetica"/>
          <w:sz w:val="20"/>
          <w:szCs w:val="20"/>
        </w:rPr>
        <w:t xml:space="preserve"> vs Schizophrenia</w:t>
      </w:r>
      <w:r w:rsidR="002F535A" w:rsidRPr="009D1BC4">
        <w:rPr>
          <w:rFonts w:ascii="Helvetica" w:eastAsia="Calibri" w:hAnsi="Helvetica"/>
          <w:sz w:val="20"/>
          <w:szCs w:val="20"/>
        </w:rPr>
        <w:t xml:space="preserve"> (SZ)</w:t>
      </w:r>
      <w:r w:rsidRPr="009D1BC4">
        <w:rPr>
          <w:rFonts w:ascii="Helvetica" w:eastAsia="Calibri" w:hAnsi="Helvetica"/>
          <w:sz w:val="20"/>
          <w:szCs w:val="20"/>
        </w:rPr>
        <w:t xml:space="preserve">) via </w:t>
      </w:r>
      <w:r w:rsidR="00B9002A" w:rsidRPr="00B9002A">
        <w:rPr>
          <w:rFonts w:ascii="Helvetica" w:eastAsia="Calibri" w:hAnsi="Helvetica"/>
          <w:sz w:val="20"/>
          <w:szCs w:val="20"/>
        </w:rPr>
        <w:t>two sample</w:t>
      </w:r>
      <w:r w:rsidRPr="009D1BC4">
        <w:rPr>
          <w:rFonts w:ascii="Helvetica" w:eastAsia="Calibri" w:hAnsi="Helvetica"/>
          <w:sz w:val="20"/>
          <w:szCs w:val="20"/>
        </w:rPr>
        <w:t xml:space="preserve"> t-tests. Whole-brain statistical maps were thresholded at an uncorrected </w:t>
      </w:r>
      <m:oMath>
        <m:r>
          <w:rPr>
            <w:rFonts w:ascii="Cambria Math" w:eastAsia="Calibri" w:hAnsi="Cambria Math"/>
            <w:sz w:val="20"/>
            <w:szCs w:val="20"/>
          </w:rPr>
          <m:t>p</m:t>
        </m:r>
        <m:r>
          <m:rPr>
            <m:sty m:val="p"/>
          </m:rPr>
          <w:rPr>
            <w:rFonts w:ascii="Cambria Math" w:eastAsia="Calibri" w:hAnsi="Cambria Math"/>
            <w:sz w:val="20"/>
            <w:szCs w:val="20"/>
          </w:rPr>
          <m:t xml:space="preserve"> &lt; 0.001</m:t>
        </m:r>
      </m:oMath>
      <w:r w:rsidRPr="009D1BC4">
        <w:rPr>
          <w:rFonts w:ascii="Helvetica" w:eastAsia="Calibri" w:hAnsi="Helvetica"/>
          <w:sz w:val="20"/>
          <w:szCs w:val="20"/>
        </w:rPr>
        <w:t xml:space="preserve">, followed by cluster-level </w:t>
      </w:r>
      <w:r w:rsidR="005C7A15" w:rsidRPr="009D1BC4">
        <w:rPr>
          <w:rFonts w:ascii="Helvetica" w:eastAsia="Calibri" w:hAnsi="Helvetica"/>
          <w:sz w:val="20"/>
          <w:szCs w:val="20"/>
        </w:rPr>
        <w:t xml:space="preserve">FEW </w:t>
      </w:r>
      <w:r w:rsidRPr="009D1BC4">
        <w:rPr>
          <w:rFonts w:ascii="Helvetica" w:eastAsia="Calibri" w:hAnsi="Helvetica"/>
          <w:sz w:val="20"/>
          <w:szCs w:val="20"/>
        </w:rPr>
        <w:t>correction (</w:t>
      </w:r>
      <m:oMath>
        <m:sSub>
          <m:sSubPr>
            <m:ctrlPr>
              <w:rPr>
                <w:rFonts w:ascii="Cambria Math" w:eastAsia="Calibri" w:hAnsi="Cambria Math"/>
                <w:sz w:val="20"/>
                <w:szCs w:val="20"/>
              </w:rPr>
            </m:ctrlPr>
          </m:sSubPr>
          <m:e>
            <m:r>
              <w:rPr>
                <w:rFonts w:ascii="Cambria Math" w:eastAsia="Calibri" w:hAnsi="Cambria Math"/>
                <w:sz w:val="20"/>
                <w:szCs w:val="20"/>
              </w:rPr>
              <m:t>p</m:t>
            </m:r>
          </m:e>
          <m:sub>
            <m:r>
              <w:rPr>
                <w:rFonts w:ascii="Cambria Math" w:eastAsia="Calibri" w:hAnsi="Cambria Math"/>
                <w:sz w:val="20"/>
                <w:szCs w:val="20"/>
              </w:rPr>
              <m:t>FWE</m:t>
            </m:r>
          </m:sub>
        </m:sSub>
        <m:r>
          <m:rPr>
            <m:sty m:val="p"/>
          </m:rPr>
          <w:rPr>
            <w:rFonts w:ascii="Cambria Math" w:eastAsia="Calibri" w:hAnsi="Cambria Math"/>
            <w:sz w:val="20"/>
            <w:szCs w:val="20"/>
          </w:rPr>
          <m:t xml:space="preserve"> &lt; 0.05</m:t>
        </m:r>
      </m:oMath>
      <w:r w:rsidRPr="009D1BC4">
        <w:rPr>
          <w:rFonts w:ascii="Helvetica" w:eastAsia="Calibri" w:hAnsi="Helvetica"/>
          <w:sz w:val="20"/>
          <w:szCs w:val="20"/>
        </w:rPr>
        <w:t xml:space="preserve">). Complete GLM construction and design matrix details are provided in the Supplementary Material. </w:t>
      </w:r>
      <w:commentRangeStart w:id="0"/>
      <w:r w:rsidR="00BA73C8" w:rsidRPr="009D1BC4">
        <w:rPr>
          <w:rFonts w:ascii="Helvetica" w:eastAsia="Calibri" w:hAnsi="Helvetica"/>
          <w:sz w:val="20"/>
          <w:szCs w:val="20"/>
          <w:highlight w:val="yellow"/>
        </w:rPr>
        <w:t>(covariates)</w:t>
      </w:r>
      <w:commentRangeEnd w:id="0"/>
      <w:r w:rsidR="008E7A4F" w:rsidRPr="009D1BC4">
        <w:rPr>
          <w:rStyle w:val="CommentReference"/>
          <w:rFonts w:ascii="Helvetica" w:eastAsia="Calibri" w:hAnsi="Helvetica"/>
          <w:sz w:val="20"/>
          <w:szCs w:val="20"/>
        </w:rPr>
        <w:commentReference w:id="0"/>
      </w:r>
    </w:p>
    <w:p w14:paraId="5FD0B30D" w14:textId="77777777" w:rsidR="00A24B64" w:rsidRPr="009D1BC4" w:rsidRDefault="00A24B64" w:rsidP="009D1BC4">
      <w:pPr>
        <w:jc w:val="both"/>
        <w:rPr>
          <w:rFonts w:ascii="Helvetica" w:eastAsia="Calibri" w:hAnsi="Helvetica"/>
          <w:sz w:val="20"/>
          <w:szCs w:val="20"/>
        </w:rPr>
      </w:pPr>
    </w:p>
    <w:p w14:paraId="344D7957" w14:textId="7254A560" w:rsidR="001851A5" w:rsidRPr="00DC0A9D" w:rsidRDefault="001851A5" w:rsidP="009D1BC4">
      <w:pPr>
        <w:pStyle w:val="Duz2"/>
        <w:jc w:val="both"/>
        <w:rPr>
          <w:rFonts w:ascii="Helvetica" w:eastAsia="Calibri" w:hAnsi="Helvetica"/>
          <w:bCs/>
          <w:sz w:val="20"/>
          <w:szCs w:val="20"/>
        </w:rPr>
      </w:pPr>
      <w:r w:rsidRPr="00DC0A9D">
        <w:rPr>
          <w:rFonts w:ascii="Helvetica" w:eastAsia="Calibri" w:hAnsi="Helvetica"/>
          <w:bCs/>
          <w:sz w:val="20"/>
          <w:szCs w:val="20"/>
        </w:rPr>
        <w:t>3. Results</w:t>
      </w:r>
    </w:p>
    <w:p w14:paraId="6A0E381B" w14:textId="6D5BB620" w:rsidR="008D27A3" w:rsidRPr="00DC0A9D" w:rsidRDefault="001851A5" w:rsidP="009D1BC4">
      <w:pPr>
        <w:pStyle w:val="Duz2"/>
        <w:jc w:val="both"/>
        <w:rPr>
          <w:rFonts w:ascii="Helvetica" w:hAnsi="Helvetica"/>
          <w:bCs/>
          <w:sz w:val="20"/>
          <w:szCs w:val="20"/>
        </w:rPr>
      </w:pPr>
      <w:r w:rsidRPr="00DC0A9D">
        <w:rPr>
          <w:rFonts w:ascii="Helvetica" w:hAnsi="Helvetica"/>
          <w:bCs/>
          <w:sz w:val="20"/>
          <w:szCs w:val="20"/>
        </w:rPr>
        <w:t xml:space="preserve">3.1 Model Free Behavioral Strategies </w:t>
      </w:r>
    </w:p>
    <w:p w14:paraId="1BDC1BEB" w14:textId="149BF642" w:rsidR="002C4C4E" w:rsidRPr="00602D71" w:rsidRDefault="00BA73C8" w:rsidP="002C4C4E">
      <w:pPr>
        <w:jc w:val="both"/>
        <w:rPr>
          <w:rFonts w:ascii="Helvetica" w:hAnsi="Helvetica"/>
          <w:sz w:val="20"/>
          <w:szCs w:val="20"/>
        </w:rPr>
      </w:pPr>
      <w:r w:rsidRPr="00BA73C8">
        <w:rPr>
          <w:rFonts w:ascii="Helvetica" w:hAnsi="Helvetica"/>
          <w:sz w:val="20"/>
          <w:szCs w:val="20"/>
        </w:rPr>
        <w:t xml:space="preserve">Permutation-based analyses (10,000 resamples) revealed a significant group difference in Win–Stay behavior. Individuals with </w:t>
      </w:r>
      <w:r w:rsidR="00DC0A9D">
        <w:rPr>
          <w:rFonts w:ascii="Helvetica" w:hAnsi="Helvetica"/>
          <w:sz w:val="20"/>
          <w:szCs w:val="20"/>
        </w:rPr>
        <w:t>SZ</w:t>
      </w:r>
      <w:r w:rsidRPr="00BA73C8">
        <w:rPr>
          <w:rFonts w:ascii="Helvetica" w:hAnsi="Helvetica"/>
          <w:sz w:val="20"/>
          <w:szCs w:val="20"/>
        </w:rPr>
        <w:t xml:space="preserve"> exhibited a significantly lower probability of repeating investment</w:t>
      </w:r>
      <w:r w:rsidR="002C4C4E">
        <w:rPr>
          <w:rFonts w:ascii="Helvetica" w:hAnsi="Helvetica"/>
          <w:sz w:val="20"/>
          <w:szCs w:val="20"/>
        </w:rPr>
        <w:t xml:space="preserve"> </w:t>
      </w:r>
      <w:r w:rsidR="002C4C4E" w:rsidRPr="00E27E7A">
        <w:rPr>
          <w:rFonts w:ascii="Helvetica" w:hAnsi="Helvetica"/>
          <w:sz w:val="20"/>
          <w:szCs w:val="20"/>
        </w:rPr>
        <w:t>(</w:t>
      </w:r>
      <m:oMath>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SZ</m:t>
            </m:r>
          </m:sub>
        </m:sSub>
        <m:r>
          <m:rPr>
            <m:sty m:val="p"/>
          </m:rPr>
          <w:rPr>
            <w:rFonts w:ascii="Cambria Math" w:hAnsi="Cambria Math"/>
            <w:sz w:val="20"/>
            <w:szCs w:val="20"/>
          </w:rPr>
          <m:t xml:space="preserve"> = 0.53±0.39</m:t>
        </m:r>
      </m:oMath>
      <w:r w:rsidR="002C4C4E" w:rsidRPr="00E27E7A">
        <w:rPr>
          <w:rFonts w:ascii="Helvetica" w:hAnsi="Helvetica"/>
          <w:sz w:val="20"/>
          <w:szCs w:val="20"/>
        </w:rPr>
        <w:t xml:space="preserve">) </w:t>
      </w:r>
      <w:r w:rsidRPr="00BA73C8">
        <w:rPr>
          <w:rFonts w:ascii="Helvetica" w:hAnsi="Helvetica"/>
          <w:sz w:val="20"/>
          <w:szCs w:val="20"/>
        </w:rPr>
        <w:t xml:space="preserve">following a cooperative outcome compared to </w:t>
      </w:r>
      <w:r w:rsidR="00E20840">
        <w:rPr>
          <w:rFonts w:ascii="Helvetica" w:hAnsi="Helvetica"/>
          <w:sz w:val="20"/>
          <w:szCs w:val="20"/>
        </w:rPr>
        <w:t>HC</w:t>
      </w:r>
      <w:r w:rsidR="002C4C4E" w:rsidRPr="002C4C4E">
        <w:rPr>
          <w:rFonts w:ascii="Helvetica" w:hAnsi="Helvetica"/>
          <w:sz w:val="20"/>
          <w:szCs w:val="20"/>
        </w:rPr>
        <w:t xml:space="preserve"> </w:t>
      </w:r>
      <w:r w:rsidR="002C4C4E" w:rsidRPr="00E545F9">
        <w:rPr>
          <w:rFonts w:ascii="Helvetica" w:hAnsi="Helvetica"/>
          <w:sz w:val="20"/>
          <w:szCs w:val="20"/>
        </w:rPr>
        <w:t>(</w:t>
      </w:r>
      <m:oMath>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HC</m:t>
            </m:r>
          </m:sub>
        </m:sSub>
        <m:r>
          <m:rPr>
            <m:sty m:val="p"/>
          </m:rPr>
          <w:rPr>
            <w:rFonts w:ascii="Cambria Math" w:hAnsi="Cambria Math"/>
            <w:sz w:val="20"/>
            <w:szCs w:val="20"/>
          </w:rPr>
          <m:t xml:space="preserve"> = 0.74± 0.20,</m:t>
        </m:r>
        <m:r>
          <w:rPr>
            <w:rFonts w:ascii="Cambria Math" w:hAnsi="Cambria Math"/>
            <w:sz w:val="20"/>
            <w:szCs w:val="20"/>
          </w:rPr>
          <m:t>p</m:t>
        </m:r>
        <m:r>
          <m:rPr>
            <m:sty m:val="p"/>
          </m:rPr>
          <w:rPr>
            <w:rFonts w:ascii="Cambria Math" w:hAnsi="Cambria Math"/>
            <w:sz w:val="20"/>
            <w:szCs w:val="20"/>
          </w:rPr>
          <m:t>=.0004</m:t>
        </m:r>
      </m:oMath>
      <w:r w:rsidR="002C4C4E" w:rsidRPr="00E545F9">
        <w:rPr>
          <w:rFonts w:ascii="Helvetica" w:hAnsi="Helvetica"/>
          <w:sz w:val="20"/>
          <w:szCs w:val="20"/>
        </w:rPr>
        <w:t>)</w:t>
      </w:r>
      <w:r w:rsidRPr="00BA73C8">
        <w:rPr>
          <w:rFonts w:ascii="Helvetica" w:hAnsi="Helvetica"/>
          <w:sz w:val="20"/>
          <w:szCs w:val="20"/>
        </w:rPr>
        <w:t>, indicating impaired utilization of positive social feedback. In contrast, Loss–Shift behavior did not differ significantly between groups, suggesting relatively preserved responses to negative outcomes</w:t>
      </w:r>
      <w:r w:rsidR="002C4C4E">
        <w:rPr>
          <w:rFonts w:ascii="Helvetica" w:hAnsi="Helvetica"/>
          <w:sz w:val="20"/>
          <w:szCs w:val="20"/>
        </w:rPr>
        <w:t xml:space="preserve">. </w:t>
      </w:r>
      <w:r w:rsidR="002C4C4E" w:rsidRPr="00602D71">
        <w:rPr>
          <w:rFonts w:ascii="Helvetica" w:hAnsi="Helvetica"/>
          <w:sz w:val="20"/>
          <w:szCs w:val="20"/>
        </w:rPr>
        <w:t>(</w:t>
      </w:r>
      <m:oMath>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SZ</m:t>
            </m:r>
          </m:sub>
        </m:sSub>
        <m:r>
          <m:rPr>
            <m:sty m:val="p"/>
          </m:rPr>
          <w:rPr>
            <w:rFonts w:ascii="Cambria Math" w:hAnsi="Cambria Math"/>
            <w:sz w:val="20"/>
            <w:szCs w:val="20"/>
          </w:rPr>
          <m:t xml:space="preserve"> = 0.47±0.32, </m:t>
        </m:r>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HC</m:t>
            </m:r>
          </m:sub>
        </m:sSub>
        <m:r>
          <m:rPr>
            <m:sty m:val="p"/>
          </m:rPr>
          <w:rPr>
            <w:rFonts w:ascii="Cambria Math" w:hAnsi="Cambria Math"/>
            <w:sz w:val="20"/>
            <w:szCs w:val="20"/>
          </w:rPr>
          <m:t xml:space="preserve"> = 0.42± 0.25, </m:t>
        </m:r>
        <m:r>
          <w:rPr>
            <w:rFonts w:ascii="Cambria Math" w:hAnsi="Cambria Math"/>
            <w:sz w:val="20"/>
            <w:szCs w:val="20"/>
          </w:rPr>
          <m:t>p</m:t>
        </m:r>
        <m:r>
          <m:rPr>
            <m:sty m:val="p"/>
          </m:rPr>
          <w:rPr>
            <w:rFonts w:ascii="Cambria Math" w:hAnsi="Cambria Math"/>
            <w:sz w:val="20"/>
            <w:szCs w:val="20"/>
          </w:rPr>
          <m:t>=.407</m:t>
        </m:r>
      </m:oMath>
      <w:r w:rsidR="002C4C4E" w:rsidRPr="00602D71">
        <w:rPr>
          <w:rFonts w:ascii="Helvetica" w:hAnsi="Helvetica"/>
          <w:sz w:val="20"/>
          <w:szCs w:val="20"/>
        </w:rPr>
        <w:t xml:space="preserve">). </w:t>
      </w:r>
    </w:p>
    <w:p w14:paraId="6627BC64" w14:textId="77777777" w:rsidR="002C4C4E" w:rsidRPr="00602D71" w:rsidRDefault="002C4C4E" w:rsidP="002C4C4E">
      <w:pPr>
        <w:jc w:val="both"/>
        <w:rPr>
          <w:rFonts w:ascii="Helvetica" w:hAnsi="Helvetica"/>
          <w:sz w:val="20"/>
          <w:szCs w:val="20"/>
        </w:rPr>
      </w:pPr>
    </w:p>
    <w:p w14:paraId="5CAA1632" w14:textId="33E87A6F" w:rsidR="00FF41E9" w:rsidRPr="009D1BC4" w:rsidRDefault="00FF41E9" w:rsidP="009D1BC4">
      <w:pPr>
        <w:jc w:val="both"/>
        <w:rPr>
          <w:rFonts w:ascii="Helvetica" w:hAnsi="Helvetica"/>
          <w:sz w:val="20"/>
          <w:szCs w:val="20"/>
        </w:rPr>
      </w:pPr>
      <w:r w:rsidRPr="009D1BC4">
        <w:rPr>
          <w:rFonts w:ascii="Helvetica" w:hAnsi="Helvetica"/>
          <w:noProof/>
          <w:sz w:val="20"/>
          <w:szCs w:val="20"/>
          <w14:ligatures w14:val="standardContextual"/>
        </w:rPr>
        <w:drawing>
          <wp:inline distT="0" distB="0" distL="0" distR="0" wp14:anchorId="78ADC060" wp14:editId="637F224A">
            <wp:extent cx="3240000" cy="1350000"/>
            <wp:effectExtent l="0" t="0" r="0" b="0"/>
            <wp:docPr id="551686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686197" name="Picture 1"/>
                    <pic:cNvPicPr/>
                  </pic:nvPicPr>
                  <pic:blipFill rotWithShape="1">
                    <a:blip r:embed="rId12" cstate="print">
                      <a:extLst>
                        <a:ext uri="{28A0092B-C50C-407E-A947-70E740481C1C}">
                          <a14:useLocalDpi xmlns:a14="http://schemas.microsoft.com/office/drawing/2010/main" val="0"/>
                        </a:ext>
                      </a:extLst>
                    </a:blip>
                    <a:srcRect r="29"/>
                    <a:stretch/>
                  </pic:blipFill>
                  <pic:spPr bwMode="auto">
                    <a:xfrm>
                      <a:off x="0" y="0"/>
                      <a:ext cx="3240000" cy="1350000"/>
                    </a:xfrm>
                    <a:prstGeom prst="rect">
                      <a:avLst/>
                    </a:prstGeom>
                    <a:ln>
                      <a:noFill/>
                    </a:ln>
                    <a:extLst>
                      <a:ext uri="{53640926-AAD7-44D8-BBD7-CCE9431645EC}">
                        <a14:shadowObscured xmlns:a14="http://schemas.microsoft.com/office/drawing/2010/main"/>
                      </a:ext>
                    </a:extLst>
                  </pic:spPr>
                </pic:pic>
              </a:graphicData>
            </a:graphic>
          </wp:inline>
        </w:drawing>
      </w:r>
    </w:p>
    <w:p w14:paraId="0CE41001" w14:textId="18B4E9F7" w:rsidR="00CC7636" w:rsidRPr="009D1BC4" w:rsidRDefault="005E438A" w:rsidP="009D1BC4">
      <w:pPr>
        <w:pStyle w:val="BodyText"/>
        <w:jc w:val="both"/>
        <w:rPr>
          <w:rFonts w:ascii="Helvetica" w:hAnsi="Helvetica" w:cs="Arial"/>
          <w:sz w:val="18"/>
          <w:szCs w:val="18"/>
        </w:rPr>
      </w:pPr>
      <w:r w:rsidRPr="009D1BC4">
        <w:rPr>
          <w:rFonts w:ascii="Helvetica" w:hAnsi="Helvetica" w:cs="Arial"/>
          <w:sz w:val="18"/>
          <w:szCs w:val="18"/>
        </w:rPr>
        <w:lastRenderedPageBreak/>
        <w:t>Figure 3.</w:t>
      </w:r>
      <w:r w:rsidR="00ED0909" w:rsidRPr="009D1BC4">
        <w:rPr>
          <w:rFonts w:ascii="Helvetica" w:hAnsi="Helvetica" w:cs="Arial"/>
          <w:sz w:val="18"/>
          <w:szCs w:val="18"/>
        </w:rPr>
        <w:t xml:space="preserve"> Group differences in Win-Stay and Loss-Shift behavior. Probability of utilizing Win-Stay and Loss-Shift heuristics for Healthy Controls (HC) and Schizophrenia (SZ) patients. SZ patients demonstrated a significantly lower probability of applying the Win-Stay strategy compared to HC, whereas Loss-Shift behavior remained intact across both groups. Colored markers represent individual participants, overlaid on box plots displaying the data distribution and median (permutation test). </w:t>
      </w:r>
    </w:p>
    <w:p w14:paraId="3BF068AE" w14:textId="77777777" w:rsidR="00E518CB" w:rsidRPr="009D1BC4" w:rsidRDefault="00E518CB" w:rsidP="009D1BC4">
      <w:pPr>
        <w:jc w:val="both"/>
        <w:rPr>
          <w:rFonts w:ascii="Helvetica" w:hAnsi="Helvetica"/>
          <w:sz w:val="20"/>
          <w:szCs w:val="20"/>
        </w:rPr>
      </w:pPr>
    </w:p>
    <w:p w14:paraId="76D5398B" w14:textId="5794F6D4" w:rsidR="00BD7AF5" w:rsidRPr="009D1BC4" w:rsidRDefault="00BD7AF5" w:rsidP="009D1BC4">
      <w:pPr>
        <w:jc w:val="both"/>
        <w:rPr>
          <w:rFonts w:ascii="Helvetica" w:hAnsi="Helvetica"/>
          <w:b/>
          <w:bCs/>
          <w:sz w:val="20"/>
          <w:szCs w:val="20"/>
        </w:rPr>
      </w:pPr>
      <w:r w:rsidRPr="009D1BC4">
        <w:rPr>
          <w:rFonts w:ascii="Helvetica" w:hAnsi="Helvetica"/>
          <w:b/>
          <w:bCs/>
          <w:sz w:val="20"/>
          <w:szCs w:val="20"/>
        </w:rPr>
        <w:t>3.</w:t>
      </w:r>
      <w:r w:rsidR="006C0B5A" w:rsidRPr="009D1BC4">
        <w:rPr>
          <w:rFonts w:ascii="Helvetica" w:hAnsi="Helvetica"/>
          <w:b/>
          <w:bCs/>
          <w:sz w:val="20"/>
          <w:szCs w:val="20"/>
        </w:rPr>
        <w:t>2</w:t>
      </w:r>
      <w:r w:rsidRPr="009D1BC4">
        <w:rPr>
          <w:rFonts w:ascii="Helvetica" w:hAnsi="Helvetica"/>
          <w:b/>
          <w:bCs/>
          <w:sz w:val="20"/>
          <w:szCs w:val="20"/>
        </w:rPr>
        <w:t xml:space="preserve"> </w:t>
      </w:r>
      <w:r w:rsidR="00FF41E9" w:rsidRPr="009D1BC4">
        <w:rPr>
          <w:rFonts w:ascii="Helvetica" w:hAnsi="Helvetica"/>
          <w:b/>
          <w:bCs/>
          <w:sz w:val="20"/>
          <w:szCs w:val="20"/>
        </w:rPr>
        <w:t xml:space="preserve">Computational Modeling Results </w:t>
      </w:r>
    </w:p>
    <w:p w14:paraId="2F9AA7FC" w14:textId="77777777" w:rsidR="002C4C4E" w:rsidRDefault="002C4C4E">
      <w:pPr>
        <w:jc w:val="both"/>
        <w:rPr>
          <w:rFonts w:ascii="Helvetica" w:hAnsi="Helvetica"/>
          <w:sz w:val="20"/>
          <w:szCs w:val="20"/>
        </w:rPr>
      </w:pPr>
      <w:r w:rsidRPr="002C4C4E">
        <w:rPr>
          <w:rFonts w:ascii="Helvetica" w:hAnsi="Helvetica"/>
          <w:sz w:val="20"/>
          <w:szCs w:val="20"/>
        </w:rPr>
        <w:t>Model comparison demonstrated that the standard Rescorla–Wagner (RW) model provided the best overall fit at the group level, yielding the lowest Bayesian Information Criterion (BIC) relative to alternative models, including dual-learning-rate and null models (Supplementary Table S1). Accordingly, the RW model was used to estimate individual learning parameters.</w:t>
      </w:r>
      <w:r>
        <w:rPr>
          <w:rFonts w:ascii="Helvetica" w:hAnsi="Helvetica"/>
          <w:sz w:val="20"/>
          <w:szCs w:val="20"/>
        </w:rPr>
        <w:t xml:space="preserve"> </w:t>
      </w:r>
      <w:r w:rsidRPr="002C4C4E">
        <w:rPr>
          <w:rFonts w:ascii="Helvetica" w:hAnsi="Helvetica"/>
          <w:sz w:val="20"/>
          <w:szCs w:val="20"/>
        </w:rPr>
        <w:t>Despite this group-level fit, a critical observation emerged at the individual level: for a substantial proportion of SZ participants, choice behavior was better explained by a null model than by reinforcement learning models, indicating a failure to systematically incorporate feedback into decision-making.</w:t>
      </w:r>
      <w:r>
        <w:rPr>
          <w:rFonts w:ascii="Helvetica" w:hAnsi="Helvetica"/>
          <w:sz w:val="20"/>
          <w:szCs w:val="20"/>
        </w:rPr>
        <w:t xml:space="preserve"> </w:t>
      </w:r>
    </w:p>
    <w:p w14:paraId="6304AA4F" w14:textId="77777777" w:rsidR="002C4C4E" w:rsidRDefault="002C4C4E">
      <w:pPr>
        <w:jc w:val="both"/>
        <w:rPr>
          <w:rFonts w:ascii="Helvetica" w:hAnsi="Helvetica"/>
          <w:sz w:val="20"/>
          <w:szCs w:val="20"/>
        </w:rPr>
      </w:pPr>
    </w:p>
    <w:p w14:paraId="15D5F92F" w14:textId="7282A7AF" w:rsidR="00FF41E9" w:rsidRPr="009D1BC4" w:rsidRDefault="002C4C4E" w:rsidP="009D1BC4">
      <w:pPr>
        <w:jc w:val="both"/>
        <w:rPr>
          <w:rFonts w:ascii="Helvetica" w:hAnsi="Helvetica"/>
          <w:sz w:val="20"/>
          <w:szCs w:val="20"/>
        </w:rPr>
      </w:pPr>
      <w:r w:rsidRPr="002C4C4E">
        <w:rPr>
          <w:rFonts w:ascii="Helvetica" w:hAnsi="Helvetica"/>
          <w:sz w:val="20"/>
          <w:szCs w:val="20"/>
        </w:rPr>
        <w:t xml:space="preserve">Permutation tests (10,000 resamples) revealed that SZ participants exhibited significantly reduced learning rates (α) compared to </w:t>
      </w:r>
      <w:r w:rsidR="008B0270" w:rsidRPr="002C4C4E">
        <w:rPr>
          <w:rFonts w:ascii="Helvetica" w:hAnsi="Helvetica"/>
          <w:sz w:val="20"/>
          <w:szCs w:val="20"/>
        </w:rPr>
        <w:t>HC (</w:t>
      </w:r>
      <w:r w:rsidRPr="002C4C4E">
        <w:rPr>
          <w:rFonts w:ascii="Helvetica" w:hAnsi="Helvetica"/>
          <w:sz w:val="20"/>
          <w:szCs w:val="20"/>
        </w:rPr>
        <w:t>Median = 0.051) compared to HC (Median = 0.197</w:t>
      </w:r>
      <w:r>
        <w:rPr>
          <w:rFonts w:ascii="Helvetica" w:hAnsi="Helvetica"/>
          <w:sz w:val="20"/>
          <w:szCs w:val="20"/>
        </w:rPr>
        <w:t>; respectively</w:t>
      </w:r>
      <w:r w:rsidRPr="002C4C4E">
        <w:rPr>
          <w:rFonts w:ascii="Helvetica" w:hAnsi="Helvetica"/>
          <w:sz w:val="20"/>
          <w:szCs w:val="20"/>
        </w:rPr>
        <w:t>,</w:t>
      </w:r>
      <w:r>
        <w:rPr>
          <w:rFonts w:ascii="Helvetica" w:hAnsi="Helvetica"/>
          <w:sz w:val="20"/>
          <w:szCs w:val="20"/>
        </w:rPr>
        <w:t xml:space="preserve"> </w:t>
      </w:r>
      <w:r w:rsidRPr="002C4C4E">
        <w:rPr>
          <w:rFonts w:ascii="Helvetica" w:hAnsi="Helvetica"/>
          <w:sz w:val="20"/>
          <w:szCs w:val="20"/>
        </w:rPr>
        <w:t>p = .010, surviving Bonferroni correction), indicating impaired updating of expected value based on feedback</w:t>
      </w:r>
      <w:r>
        <w:rPr>
          <w:rFonts w:ascii="Helvetica" w:hAnsi="Helvetica"/>
          <w:sz w:val="20"/>
          <w:szCs w:val="20"/>
        </w:rPr>
        <w:t xml:space="preserve">. </w:t>
      </w:r>
      <w:r w:rsidR="00FF41E9" w:rsidRPr="002C4406">
        <w:rPr>
          <w:rFonts w:ascii="Helvetica" w:hAnsi="Helvetica"/>
          <w:sz w:val="20"/>
          <w:szCs w:val="20"/>
        </w:rPr>
        <w:t>There was a trend-level difference in inverse temperature (</w:t>
      </w:r>
      <m:oMath>
        <m:r>
          <w:rPr>
            <w:rFonts w:ascii="Cambria Math" w:hAnsi="Cambria Math"/>
            <w:sz w:val="20"/>
            <w:szCs w:val="20"/>
          </w:rPr>
          <m:t>β</m:t>
        </m:r>
      </m:oMath>
      <w:r w:rsidR="00FF41E9" w:rsidRPr="00BC05F9">
        <w:rPr>
          <w:rFonts w:ascii="Helvetica" w:hAnsi="Helvetica"/>
          <w:sz w:val="20"/>
          <w:szCs w:val="20"/>
        </w:rPr>
        <w:t>) between groups (</w:t>
      </w:r>
      <m:oMath>
        <m:r>
          <w:rPr>
            <w:rFonts w:ascii="Cambria Math" w:hAnsi="Cambria Math"/>
            <w:sz w:val="20"/>
            <w:szCs w:val="20"/>
          </w:rPr>
          <m:t>Media</m:t>
        </m:r>
        <m:sSub>
          <m:sSubPr>
            <m:ctrlPr>
              <w:rPr>
                <w:rFonts w:ascii="Cambria Math" w:hAnsi="Cambria Math"/>
                <w:sz w:val="20"/>
                <w:szCs w:val="20"/>
              </w:rPr>
            </m:ctrlPr>
          </m:sSubPr>
          <m:e>
            <m:r>
              <w:rPr>
                <w:rFonts w:ascii="Cambria Math" w:hAnsi="Cambria Math"/>
                <w:sz w:val="20"/>
                <w:szCs w:val="20"/>
              </w:rPr>
              <m:t>n</m:t>
            </m:r>
          </m:e>
          <m:sub>
            <m:r>
              <w:rPr>
                <w:rFonts w:ascii="Cambria Math" w:hAnsi="Cambria Math"/>
                <w:sz w:val="20"/>
                <w:szCs w:val="20"/>
              </w:rPr>
              <m:t>HC</m:t>
            </m:r>
          </m:sub>
        </m:sSub>
        <m:r>
          <m:rPr>
            <m:sty m:val="p"/>
          </m:rPr>
          <w:rPr>
            <w:rFonts w:ascii="Cambria Math" w:hAnsi="Cambria Math"/>
            <w:sz w:val="20"/>
            <w:szCs w:val="20"/>
          </w:rPr>
          <m:t xml:space="preserve"> = 3.577, </m:t>
        </m:r>
        <m:r>
          <w:rPr>
            <w:rFonts w:ascii="Cambria Math" w:hAnsi="Cambria Math"/>
            <w:sz w:val="20"/>
            <w:szCs w:val="20"/>
          </w:rPr>
          <m:t>Media</m:t>
        </m:r>
        <m:sSub>
          <m:sSubPr>
            <m:ctrlPr>
              <w:rPr>
                <w:rFonts w:ascii="Cambria Math" w:hAnsi="Cambria Math"/>
                <w:sz w:val="20"/>
                <w:szCs w:val="20"/>
              </w:rPr>
            </m:ctrlPr>
          </m:sSubPr>
          <m:e>
            <m:r>
              <w:rPr>
                <w:rFonts w:ascii="Cambria Math" w:hAnsi="Cambria Math"/>
                <w:sz w:val="20"/>
                <w:szCs w:val="20"/>
              </w:rPr>
              <m:t>n</m:t>
            </m:r>
          </m:e>
          <m:sub>
            <m:r>
              <w:rPr>
                <w:rFonts w:ascii="Cambria Math" w:hAnsi="Cambria Math"/>
                <w:sz w:val="20"/>
                <w:szCs w:val="20"/>
              </w:rPr>
              <m:t>SZ</m:t>
            </m:r>
          </m:sub>
        </m:sSub>
        <m:r>
          <m:rPr>
            <m:sty m:val="p"/>
          </m:rPr>
          <w:rPr>
            <w:rFonts w:ascii="Cambria Math" w:hAnsi="Cambria Math"/>
            <w:sz w:val="20"/>
            <w:szCs w:val="20"/>
          </w:rPr>
          <m:t xml:space="preserve"> = 3.499; </m:t>
        </m:r>
        <m:r>
          <w:rPr>
            <w:rFonts w:ascii="Cambria Math" w:hAnsi="Cambria Math"/>
            <w:sz w:val="20"/>
            <w:szCs w:val="20"/>
          </w:rPr>
          <m:t>p</m:t>
        </m:r>
        <m:r>
          <m:rPr>
            <m:sty m:val="p"/>
          </m:rPr>
          <w:rPr>
            <w:rFonts w:ascii="Cambria Math" w:hAnsi="Cambria Math"/>
            <w:sz w:val="20"/>
            <w:szCs w:val="20"/>
          </w:rPr>
          <m:t xml:space="preserve"> = .069</m:t>
        </m:r>
      </m:oMath>
      <w:r w:rsidR="00FF41E9" w:rsidRPr="002C4406">
        <w:rPr>
          <w:rFonts w:ascii="Helvetica" w:hAnsi="Helvetica"/>
          <w:sz w:val="20"/>
          <w:szCs w:val="20"/>
        </w:rPr>
        <w:t>). Furthermore, overall model fit (Pseudo-</w:t>
      </w:r>
      <w:r w:rsidR="00FF41E9" w:rsidRPr="002C4406">
        <w:rPr>
          <w:rStyle w:val="math-inline"/>
          <w:rFonts w:ascii="Helvetica" w:hAnsi="Helvetica"/>
          <w:sz w:val="20"/>
          <w:szCs w:val="20"/>
        </w:rPr>
        <w:t>R</w:t>
      </w:r>
      <w:r w:rsidR="00FF41E9" w:rsidRPr="002C4406">
        <w:rPr>
          <w:rStyle w:val="math-inline"/>
          <w:rFonts w:ascii="Helvetica" w:hAnsi="Helvetica"/>
          <w:sz w:val="20"/>
          <w:szCs w:val="20"/>
          <w:vertAlign w:val="superscript"/>
        </w:rPr>
        <w:t>2</w:t>
      </w:r>
      <w:r w:rsidR="00FF41E9" w:rsidRPr="002C4406">
        <w:rPr>
          <w:rFonts w:ascii="Helvetica" w:hAnsi="Helvetica"/>
          <w:sz w:val="20"/>
          <w:szCs w:val="20"/>
        </w:rPr>
        <w:t>) was significantly lower in patients (</w:t>
      </w:r>
      <m:oMath>
        <m:r>
          <w:rPr>
            <w:rFonts w:ascii="Cambria Math" w:hAnsi="Cambria Math"/>
            <w:sz w:val="20"/>
            <w:szCs w:val="20"/>
          </w:rPr>
          <m:t>Median</m:t>
        </m:r>
        <m:r>
          <m:rPr>
            <m:sty m:val="p"/>
          </m:rPr>
          <w:rPr>
            <w:rFonts w:ascii="Cambria Math" w:hAnsi="Cambria Math"/>
            <w:sz w:val="20"/>
            <w:szCs w:val="20"/>
          </w:rPr>
          <m:t xml:space="preserve"> = 0.047</m:t>
        </m:r>
      </m:oMath>
      <w:r w:rsidR="00FF41E9" w:rsidRPr="009D1BC4">
        <w:rPr>
          <w:rFonts w:ascii="Helvetica" w:hAnsi="Helvetica"/>
          <w:sz w:val="20"/>
          <w:szCs w:val="20"/>
        </w:rPr>
        <w:t>) than controls (</w:t>
      </w:r>
      <m:oMath>
        <m:r>
          <w:rPr>
            <w:rFonts w:ascii="Cambria Math" w:hAnsi="Cambria Math"/>
            <w:sz w:val="20"/>
            <w:szCs w:val="20"/>
          </w:rPr>
          <m:t>Median</m:t>
        </m:r>
        <m:r>
          <m:rPr>
            <m:sty m:val="p"/>
          </m:rPr>
          <w:rPr>
            <w:rFonts w:ascii="Cambria Math" w:hAnsi="Cambria Math"/>
            <w:sz w:val="20"/>
            <w:szCs w:val="20"/>
          </w:rPr>
          <m:t xml:space="preserve"> = 0.178; </m:t>
        </m:r>
        <m:r>
          <w:rPr>
            <w:rFonts w:ascii="Cambria Math" w:hAnsi="Cambria Math"/>
            <w:sz w:val="20"/>
            <w:szCs w:val="20"/>
          </w:rPr>
          <m:t>p</m:t>
        </m:r>
        <m:r>
          <m:rPr>
            <m:sty m:val="p"/>
          </m:rPr>
          <w:rPr>
            <w:rFonts w:ascii="Cambria Math" w:hAnsi="Cambria Math"/>
            <w:sz w:val="20"/>
            <w:szCs w:val="20"/>
          </w:rPr>
          <m:t xml:space="preserve"> = 0.0070</m:t>
        </m:r>
      </m:oMath>
      <w:r w:rsidR="00E1393E" w:rsidRPr="009D1BC4">
        <w:rPr>
          <w:rFonts w:ascii="Helvetica" w:hAnsi="Helvetica"/>
          <w:sz w:val="20"/>
          <w:szCs w:val="20"/>
        </w:rPr>
        <w:t xml:space="preserve">, surviving Bonferroni correction at </w:t>
      </w:r>
      <m:oMath>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corrected</m:t>
            </m:r>
          </m:sub>
        </m:sSub>
        <m:r>
          <m:rPr>
            <m:sty m:val="p"/>
          </m:rPr>
          <w:rPr>
            <w:rFonts w:ascii="Cambria Math" w:hAnsi="Cambria Math"/>
            <w:sz w:val="20"/>
            <w:szCs w:val="20"/>
          </w:rPr>
          <m:t xml:space="preserve"> = 0.0166</m:t>
        </m:r>
      </m:oMath>
      <w:r w:rsidR="00FF41E9" w:rsidRPr="009D1BC4">
        <w:rPr>
          <w:rFonts w:ascii="Helvetica" w:hAnsi="Helvetica"/>
          <w:sz w:val="20"/>
          <w:szCs w:val="20"/>
        </w:rPr>
        <w:t>)</w:t>
      </w:r>
      <w:r>
        <w:rPr>
          <w:rFonts w:ascii="Helvetica" w:hAnsi="Helvetica"/>
          <w:sz w:val="20"/>
          <w:szCs w:val="20"/>
        </w:rPr>
        <w:t xml:space="preserve"> </w:t>
      </w:r>
      <w:r w:rsidRPr="006A756C">
        <w:rPr>
          <w:rFonts w:ascii="Helvetica" w:hAnsi="Helvetica"/>
          <w:sz w:val="20"/>
          <w:szCs w:val="20"/>
        </w:rPr>
        <w:t>(</w:t>
      </w:r>
      <m:oMath>
        <m:r>
          <w:rPr>
            <w:rFonts w:ascii="Cambria Math" w:hAnsi="Cambria Math"/>
            <w:sz w:val="20"/>
            <w:szCs w:val="20"/>
          </w:rPr>
          <m:t>Median</m:t>
        </m:r>
        <m:r>
          <m:rPr>
            <m:sty m:val="p"/>
          </m:rPr>
          <w:rPr>
            <w:rFonts w:ascii="Cambria Math" w:hAnsi="Cambria Math"/>
            <w:sz w:val="20"/>
            <w:szCs w:val="20"/>
          </w:rPr>
          <m:t xml:space="preserve"> = 0.051</m:t>
        </m:r>
      </m:oMath>
      <w:r w:rsidRPr="006A756C">
        <w:rPr>
          <w:rFonts w:ascii="Helvetica" w:hAnsi="Helvetica"/>
          <w:sz w:val="20"/>
          <w:szCs w:val="20"/>
        </w:rPr>
        <w:t>) compared to HC (</w:t>
      </w:r>
      <m:oMath>
        <m:r>
          <w:rPr>
            <w:rFonts w:ascii="Cambria Math" w:hAnsi="Cambria Math"/>
            <w:sz w:val="20"/>
            <w:szCs w:val="20"/>
          </w:rPr>
          <m:t>Median</m:t>
        </m:r>
        <m:r>
          <m:rPr>
            <m:sty m:val="p"/>
          </m:rPr>
          <w:rPr>
            <w:rFonts w:ascii="Cambria Math" w:hAnsi="Cambria Math"/>
            <w:sz w:val="20"/>
            <w:szCs w:val="20"/>
          </w:rPr>
          <m:t xml:space="preserve"> = 0.197, </m:t>
        </m:r>
        <m:r>
          <w:rPr>
            <w:rFonts w:ascii="Cambria Math" w:hAnsi="Cambria Math"/>
            <w:sz w:val="20"/>
            <w:szCs w:val="20"/>
          </w:rPr>
          <m:t>p</m:t>
        </m:r>
        <m:r>
          <m:rPr>
            <m:sty m:val="p"/>
          </m:rPr>
          <w:rPr>
            <w:rFonts w:ascii="Cambria Math" w:hAnsi="Cambria Math"/>
            <w:sz w:val="20"/>
            <w:szCs w:val="20"/>
          </w:rPr>
          <m:t xml:space="preserve"> = .010</m:t>
        </m:r>
      </m:oMath>
      <w:r w:rsidRPr="006A756C">
        <w:rPr>
          <w:rFonts w:ascii="Helvetica" w:hAnsi="Helvetica"/>
          <w:sz w:val="20"/>
          <w:szCs w:val="20"/>
        </w:rPr>
        <w:t>, surviving Bonferroni correction</w:t>
      </w:r>
      <w:r>
        <w:rPr>
          <w:rFonts w:ascii="Helvetica" w:hAnsi="Helvetica"/>
          <w:sz w:val="20"/>
          <w:szCs w:val="20"/>
        </w:rPr>
        <w:t xml:space="preserve">. </w:t>
      </w:r>
    </w:p>
    <w:p w14:paraId="19138025" w14:textId="77777777" w:rsidR="00FF41E9" w:rsidRPr="009D1BC4" w:rsidRDefault="00FF41E9" w:rsidP="009D1BC4">
      <w:pPr>
        <w:jc w:val="both"/>
        <w:rPr>
          <w:rFonts w:ascii="Helvetica" w:hAnsi="Helvetica"/>
          <w:sz w:val="20"/>
          <w:szCs w:val="20"/>
        </w:rPr>
      </w:pPr>
    </w:p>
    <w:p w14:paraId="405D5ACC" w14:textId="043B201D" w:rsidR="00FF41E9" w:rsidRPr="009D1BC4" w:rsidRDefault="00FF41E9" w:rsidP="009D1BC4">
      <w:pPr>
        <w:jc w:val="both"/>
        <w:rPr>
          <w:rFonts w:ascii="Helvetica" w:hAnsi="Helvetica"/>
          <w:sz w:val="20"/>
          <w:szCs w:val="20"/>
        </w:rPr>
      </w:pPr>
      <w:r w:rsidRPr="009D1BC4">
        <w:rPr>
          <w:rFonts w:ascii="Helvetica" w:hAnsi="Helvetica"/>
          <w:noProof/>
          <w:sz w:val="20"/>
          <w:szCs w:val="20"/>
          <w14:ligatures w14:val="standardContextual"/>
        </w:rPr>
        <w:drawing>
          <wp:inline distT="0" distB="0" distL="0" distR="0" wp14:anchorId="6B4B9AA0" wp14:editId="5E905E51">
            <wp:extent cx="3240000" cy="1350000"/>
            <wp:effectExtent l="0" t="0" r="0" b="0"/>
            <wp:docPr id="17574563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56300" name="Picture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40000" cy="1350000"/>
                    </a:xfrm>
                    <a:prstGeom prst="rect">
                      <a:avLst/>
                    </a:prstGeom>
                  </pic:spPr>
                </pic:pic>
              </a:graphicData>
            </a:graphic>
          </wp:inline>
        </w:drawing>
      </w:r>
    </w:p>
    <w:p w14:paraId="46265888" w14:textId="77777777" w:rsidR="00A94C5E" w:rsidRPr="009D1BC4" w:rsidRDefault="00A94C5E" w:rsidP="009D1BC4">
      <w:pPr>
        <w:jc w:val="both"/>
        <w:rPr>
          <w:rFonts w:ascii="Helvetica" w:hAnsi="Helvetica"/>
          <w:sz w:val="18"/>
          <w:szCs w:val="18"/>
        </w:rPr>
      </w:pPr>
    </w:p>
    <w:p w14:paraId="4DCB3308" w14:textId="555E98E1" w:rsidR="00A94C5E" w:rsidRPr="009D1BC4" w:rsidRDefault="00A94C5E" w:rsidP="009D1BC4">
      <w:pPr>
        <w:jc w:val="both"/>
        <w:rPr>
          <w:rFonts w:ascii="Helvetica" w:hAnsi="Helvetica"/>
          <w:sz w:val="18"/>
          <w:szCs w:val="18"/>
        </w:rPr>
      </w:pPr>
      <w:r w:rsidRPr="009D1BC4">
        <w:rPr>
          <w:rFonts w:ascii="Helvetica" w:hAnsi="Helvetica"/>
          <w:b/>
          <w:bCs/>
          <w:sz w:val="18"/>
          <w:szCs w:val="18"/>
        </w:rPr>
        <w:t>Figure 4.</w:t>
      </w:r>
      <w:r w:rsidRPr="009D1BC4">
        <w:rPr>
          <w:rFonts w:ascii="Helvetica" w:hAnsi="Helvetica"/>
          <w:sz w:val="18"/>
          <w:szCs w:val="18"/>
        </w:rPr>
        <w:t xml:space="preserve"> </w:t>
      </w:r>
      <w:r w:rsidR="00307F92" w:rsidRPr="009D1BC4">
        <w:rPr>
          <w:rFonts w:ascii="Helvetica" w:hAnsi="Helvetica"/>
          <w:sz w:val="18"/>
          <w:szCs w:val="18"/>
        </w:rPr>
        <w:t>Group differences in computational learning parameters. Distributions of learning rate (</w:t>
      </w:r>
      <m:oMath>
        <m:r>
          <w:rPr>
            <w:rFonts w:ascii="Cambria Math" w:hAnsi="Cambria Math"/>
            <w:sz w:val="18"/>
            <w:szCs w:val="18"/>
          </w:rPr>
          <m:t>α</m:t>
        </m:r>
      </m:oMath>
      <w:r w:rsidR="00307F92" w:rsidRPr="009D1BC4">
        <w:rPr>
          <w:rFonts w:ascii="Helvetica" w:hAnsi="Helvetica"/>
          <w:sz w:val="18"/>
          <w:szCs w:val="18"/>
        </w:rPr>
        <w:t xml:space="preserve">), inverse temperature </w:t>
      </w:r>
      <m:oMath>
        <m:r>
          <m:rPr>
            <m:sty m:val="p"/>
          </m:rPr>
          <w:rPr>
            <w:rFonts w:ascii="Cambria Math" w:hAnsi="Cambria Math"/>
            <w:sz w:val="18"/>
            <w:szCs w:val="18"/>
          </w:rPr>
          <m:t>(</m:t>
        </m:r>
        <m:r>
          <w:rPr>
            <w:rFonts w:ascii="Cambria Math" w:hAnsi="Cambria Math"/>
            <w:sz w:val="18"/>
            <w:szCs w:val="18"/>
          </w:rPr>
          <m:t>β</m:t>
        </m:r>
      </m:oMath>
      <w:r w:rsidR="00307F92" w:rsidRPr="009D1BC4">
        <w:rPr>
          <w:rFonts w:ascii="Helvetica" w:hAnsi="Helvetica"/>
          <w:sz w:val="18"/>
          <w:szCs w:val="18"/>
        </w:rPr>
        <w:t>), and pseudo-R</w:t>
      </w:r>
      <w:r w:rsidR="00307F92" w:rsidRPr="009D1BC4">
        <w:rPr>
          <w:rFonts w:ascii="Helvetica" w:hAnsi="Helvetica"/>
          <w:sz w:val="18"/>
          <w:szCs w:val="18"/>
          <w:vertAlign w:val="superscript"/>
        </w:rPr>
        <w:t>2</w:t>
      </w:r>
      <w:r w:rsidR="00307F92" w:rsidRPr="009D1BC4">
        <w:rPr>
          <w:rFonts w:ascii="Helvetica" w:hAnsi="Helvetica"/>
          <w:sz w:val="18"/>
          <w:szCs w:val="18"/>
        </w:rPr>
        <w:t xml:space="preserve"> for Healthy Controls (HC) and Schizophrenia (SZ) patients. SZ patients demonstrated significantly reduced learning rates and poorer overall model fits compared to HC, while differences in inverse temperature (</w:t>
      </w:r>
      <m:oMath>
        <m:r>
          <w:rPr>
            <w:rFonts w:ascii="Cambria Math" w:hAnsi="Cambria Math"/>
            <w:sz w:val="18"/>
            <w:szCs w:val="18"/>
          </w:rPr>
          <m:t>β</m:t>
        </m:r>
      </m:oMath>
      <w:r w:rsidR="00307F92" w:rsidRPr="009D1BC4">
        <w:rPr>
          <w:rFonts w:ascii="Helvetica" w:hAnsi="Helvetica"/>
          <w:sz w:val="18"/>
          <w:szCs w:val="18"/>
        </w:rPr>
        <w:t>) were non-significant. Individual parameter estimates are overlaid on violin plots showing the data distribution</w:t>
      </w:r>
      <w:r w:rsidR="003032D7">
        <w:rPr>
          <w:rFonts w:ascii="Helvetica" w:hAnsi="Helvetica"/>
          <w:sz w:val="18"/>
          <w:szCs w:val="18"/>
        </w:rPr>
        <w:t xml:space="preserve"> </w:t>
      </w:r>
      <w:r w:rsidR="00307F92" w:rsidRPr="009D1BC4">
        <w:rPr>
          <w:rFonts w:ascii="Helvetica" w:hAnsi="Helvetica"/>
          <w:sz w:val="18"/>
          <w:szCs w:val="18"/>
        </w:rPr>
        <w:t>and interquartile range (black bar) (permutation tests, Bonferroni-corrected).</w:t>
      </w:r>
    </w:p>
    <w:p w14:paraId="62A778F5" w14:textId="77777777" w:rsidR="00FF41E9" w:rsidRPr="009D1BC4" w:rsidRDefault="00FF41E9" w:rsidP="009D1BC4">
      <w:pPr>
        <w:jc w:val="both"/>
        <w:rPr>
          <w:rFonts w:ascii="Helvetica" w:hAnsi="Helvetica"/>
          <w:sz w:val="20"/>
          <w:szCs w:val="20"/>
        </w:rPr>
      </w:pPr>
    </w:p>
    <w:p w14:paraId="7A86A269" w14:textId="3C0104FD" w:rsidR="00FF41E9" w:rsidRPr="009D1BC4" w:rsidRDefault="00C830CD" w:rsidP="009D1BC4">
      <w:pPr>
        <w:pStyle w:val="Duz2"/>
        <w:jc w:val="both"/>
        <w:rPr>
          <w:rFonts w:ascii="Helvetica" w:hAnsi="Helvetica"/>
          <w:bCs/>
          <w:sz w:val="20"/>
          <w:szCs w:val="20"/>
        </w:rPr>
      </w:pPr>
      <w:r w:rsidRPr="009D1BC4">
        <w:rPr>
          <w:rFonts w:ascii="Helvetica" w:hAnsi="Helvetica"/>
          <w:bCs/>
          <w:sz w:val="20"/>
          <w:szCs w:val="20"/>
        </w:rPr>
        <w:t>3.</w:t>
      </w:r>
      <w:r w:rsidR="00E518CB" w:rsidRPr="009D1BC4">
        <w:rPr>
          <w:rFonts w:ascii="Helvetica" w:hAnsi="Helvetica"/>
          <w:bCs/>
          <w:sz w:val="20"/>
          <w:szCs w:val="20"/>
        </w:rPr>
        <w:t>4</w:t>
      </w:r>
      <w:r w:rsidRPr="009D1BC4">
        <w:rPr>
          <w:rFonts w:ascii="Helvetica" w:hAnsi="Helvetica"/>
          <w:bCs/>
          <w:sz w:val="20"/>
          <w:szCs w:val="20"/>
        </w:rPr>
        <w:t xml:space="preserve"> </w:t>
      </w:r>
      <w:r w:rsidR="00FF41E9" w:rsidRPr="009D1BC4">
        <w:rPr>
          <w:rFonts w:ascii="Helvetica" w:hAnsi="Helvetica"/>
          <w:bCs/>
          <w:sz w:val="20"/>
          <w:szCs w:val="20"/>
        </w:rPr>
        <w:t>Clinical Correlates of Computational Parameters</w:t>
      </w:r>
    </w:p>
    <w:p w14:paraId="16B0DB20" w14:textId="1677A35B" w:rsidR="002C4C4E" w:rsidRDefault="002C4C4E" w:rsidP="002C4C4E">
      <w:pPr>
        <w:jc w:val="both"/>
        <w:rPr>
          <w:rFonts w:ascii="Helvetica" w:hAnsi="Helvetica"/>
          <w:sz w:val="20"/>
          <w:szCs w:val="20"/>
        </w:rPr>
      </w:pPr>
      <w:r w:rsidRPr="002C4C4E">
        <w:rPr>
          <w:rFonts w:ascii="Helvetica" w:hAnsi="Helvetica"/>
          <w:sz w:val="20"/>
          <w:szCs w:val="20"/>
        </w:rPr>
        <w:t>Within the SZ group (N = 27), multiple linear regression analyses were conducted to assess associations between computational parameters and clinical variables. The model predicting learning rate (α) was not statistically significant</w:t>
      </w:r>
      <w:r>
        <w:rPr>
          <w:rFonts w:ascii="Helvetica" w:hAnsi="Helvetica"/>
          <w:sz w:val="20"/>
          <w:szCs w:val="20"/>
        </w:rPr>
        <w:t xml:space="preserve"> </w:t>
      </w:r>
      <w:r w:rsidRPr="00A115D4">
        <w:rPr>
          <w:rFonts w:ascii="Helvetica" w:hAnsi="Helvetica"/>
          <w:sz w:val="20"/>
          <w:szCs w:val="20"/>
        </w:rPr>
        <w:t>(</w:t>
      </w:r>
      <m:oMath>
        <m:r>
          <w:rPr>
            <w:rFonts w:ascii="Cambria Math" w:hAnsi="Cambria Math"/>
            <w:sz w:val="20"/>
            <w:szCs w:val="20"/>
          </w:rPr>
          <m:t>F</m:t>
        </m:r>
        <m:r>
          <m:rPr>
            <m:sty m:val="p"/>
          </m:rPr>
          <w:rPr>
            <w:rFonts w:ascii="Cambria Math" w:hAnsi="Cambria Math"/>
            <w:sz w:val="20"/>
            <w:szCs w:val="20"/>
          </w:rPr>
          <m:t xml:space="preserve">(2, 24) = 1.82, </m:t>
        </m:r>
        <m:r>
          <w:rPr>
            <w:rFonts w:ascii="Cambria Math" w:hAnsi="Cambria Math"/>
            <w:sz w:val="20"/>
            <w:szCs w:val="20"/>
          </w:rPr>
          <m:t>p</m:t>
        </m:r>
        <m:r>
          <m:rPr>
            <m:sty m:val="p"/>
          </m:rPr>
          <w:rPr>
            <w:rFonts w:ascii="Cambria Math" w:hAnsi="Cambria Math"/>
            <w:sz w:val="20"/>
            <w:szCs w:val="20"/>
          </w:rPr>
          <m:t xml:space="preserve"> = .184</m:t>
        </m:r>
      </m:oMath>
      <w:r w:rsidRPr="00A115D4">
        <w:rPr>
          <w:rFonts w:ascii="Helvetica" w:hAnsi="Helvetica"/>
          <w:sz w:val="20"/>
          <w:szCs w:val="20"/>
        </w:rPr>
        <w:t>).</w:t>
      </w:r>
      <w:r w:rsidRPr="002C4C4E">
        <w:rPr>
          <w:rFonts w:ascii="Helvetica" w:hAnsi="Helvetica"/>
          <w:sz w:val="20"/>
          <w:szCs w:val="20"/>
        </w:rPr>
        <w:t xml:space="preserve"> However, the model predicting log-transformed inverse temperature (β) was significant</w:t>
      </w:r>
      <w:r>
        <w:rPr>
          <w:rFonts w:ascii="Helvetica" w:hAnsi="Helvetica"/>
          <w:sz w:val="20"/>
          <w:szCs w:val="20"/>
        </w:rPr>
        <w:t xml:space="preserve"> </w:t>
      </w:r>
      <w:r w:rsidRPr="00131B6B">
        <w:rPr>
          <w:rFonts w:ascii="Helvetica" w:hAnsi="Helvetica"/>
          <w:sz w:val="20"/>
          <w:szCs w:val="20"/>
        </w:rPr>
        <w:t>(</w:t>
      </w:r>
      <m:oMath>
        <m:r>
          <w:rPr>
            <w:rFonts w:ascii="Cambria Math" w:hAnsi="Cambria Math"/>
            <w:sz w:val="20"/>
            <w:szCs w:val="20"/>
          </w:rPr>
          <m:t>F</m:t>
        </m:r>
        <m:r>
          <m:rPr>
            <m:sty m:val="p"/>
          </m:rPr>
          <w:rPr>
            <w:rFonts w:ascii="Cambria Math" w:hAnsi="Cambria Math"/>
            <w:sz w:val="20"/>
            <w:szCs w:val="20"/>
          </w:rPr>
          <m:t xml:space="preserve">(2, 24) = 4.02, </m:t>
        </m:r>
        <m:r>
          <w:rPr>
            <w:rFonts w:ascii="Cambria Math" w:hAnsi="Cambria Math"/>
            <w:sz w:val="20"/>
            <w:szCs w:val="20"/>
          </w:rPr>
          <m:t>p</m:t>
        </m:r>
        <m:r>
          <m:rPr>
            <m:sty m:val="p"/>
          </m:rPr>
          <w:rPr>
            <w:rFonts w:ascii="Cambria Math" w:hAnsi="Cambria Math"/>
            <w:sz w:val="20"/>
            <w:szCs w:val="20"/>
          </w:rPr>
          <m:t xml:space="preserve"> = .031, </m:t>
        </m:r>
        <m:sSup>
          <m:sSupPr>
            <m:ctrlPr>
              <w:rPr>
                <w:rFonts w:ascii="Cambria Math" w:hAnsi="Cambria Math"/>
                <w:sz w:val="20"/>
                <w:szCs w:val="20"/>
              </w:rPr>
            </m:ctrlPr>
          </m:sSupPr>
          <m:e>
            <m:r>
              <w:rPr>
                <w:rFonts w:ascii="Cambria Math" w:hAnsi="Cambria Math"/>
                <w:sz w:val="20"/>
                <w:szCs w:val="20"/>
              </w:rPr>
              <m:t>R</m:t>
            </m:r>
          </m:e>
          <m:sup>
            <m:r>
              <m:rPr>
                <m:sty m:val="p"/>
              </m:rPr>
              <w:rPr>
                <w:rFonts w:ascii="Cambria Math" w:hAnsi="Cambria Math"/>
                <w:sz w:val="20"/>
                <w:szCs w:val="20"/>
              </w:rPr>
              <m:t>2</m:t>
            </m:r>
          </m:sup>
        </m:sSup>
        <m:r>
          <m:rPr>
            <m:sty m:val="p"/>
          </m:rPr>
          <w:rPr>
            <w:rFonts w:ascii="Cambria Math" w:hAnsi="Cambria Math"/>
            <w:sz w:val="20"/>
            <w:szCs w:val="20"/>
          </w:rPr>
          <m:t xml:space="preserve"> = 0.25</m:t>
        </m:r>
      </m:oMath>
      <w:r w:rsidRPr="00131B6B">
        <w:rPr>
          <w:rFonts w:ascii="Helvetica" w:hAnsi="Helvetica"/>
          <w:sz w:val="20"/>
          <w:szCs w:val="20"/>
        </w:rPr>
        <w:t>).</w:t>
      </w:r>
    </w:p>
    <w:p w14:paraId="109FF4B3" w14:textId="77777777" w:rsidR="002C4C4E" w:rsidRPr="002C4C4E" w:rsidRDefault="002C4C4E" w:rsidP="002C4C4E">
      <w:pPr>
        <w:jc w:val="both"/>
        <w:rPr>
          <w:rFonts w:ascii="Helvetica" w:hAnsi="Helvetica"/>
          <w:sz w:val="20"/>
          <w:szCs w:val="20"/>
        </w:rPr>
      </w:pPr>
    </w:p>
    <w:p w14:paraId="7D902CAC" w14:textId="3897476E" w:rsidR="00FF41E9" w:rsidRPr="009D1BC4" w:rsidRDefault="002C4C4E" w:rsidP="009D1BC4">
      <w:pPr>
        <w:jc w:val="both"/>
        <w:rPr>
          <w:rFonts w:ascii="Helvetica" w:hAnsi="Helvetica"/>
          <w:sz w:val="20"/>
          <w:szCs w:val="20"/>
        </w:rPr>
      </w:pPr>
      <w:r w:rsidRPr="002C4C4E">
        <w:rPr>
          <w:rFonts w:ascii="Helvetica" w:hAnsi="Helvetica"/>
          <w:sz w:val="20"/>
          <w:szCs w:val="20"/>
        </w:rPr>
        <w:t>Specifically, greater positive symptom severity (PANSS positive z-score) was associated with lower β, indicating increased decision stochasticity in patients with more severe positive symptoms</w:t>
      </w:r>
      <w:r>
        <w:rPr>
          <w:rFonts w:ascii="Helvetica" w:hAnsi="Helvetica"/>
          <w:sz w:val="20"/>
          <w:szCs w:val="20"/>
        </w:rPr>
        <w:t xml:space="preserve"> </w:t>
      </w:r>
      <m:oMath>
        <m:r>
          <m:rPr>
            <m:sty m:val="p"/>
          </m:rPr>
          <w:rPr>
            <w:rFonts w:ascii="Cambria Math" w:hAnsi="Cambria Math"/>
            <w:sz w:val="20"/>
            <w:szCs w:val="20"/>
          </w:rPr>
          <m:t>(</m:t>
        </m:r>
        <m:r>
          <w:rPr>
            <w:rFonts w:ascii="Cambria Math" w:hAnsi="Cambria Math"/>
            <w:sz w:val="20"/>
            <w:szCs w:val="20"/>
          </w:rPr>
          <m:t>t</m:t>
        </m:r>
        <m:r>
          <m:rPr>
            <m:sty m:val="p"/>
          </m:rPr>
          <w:rPr>
            <w:rFonts w:ascii="Cambria Math" w:hAnsi="Cambria Math"/>
            <w:sz w:val="20"/>
            <w:szCs w:val="20"/>
          </w:rPr>
          <m:t xml:space="preserve"> = -2.51,  </m:t>
        </m:r>
        <m:r>
          <w:rPr>
            <w:rFonts w:ascii="Cambria Math" w:hAnsi="Cambria Math"/>
            <w:sz w:val="20"/>
            <w:szCs w:val="20"/>
          </w:rPr>
          <m:t>p</m:t>
        </m:r>
        <m:r>
          <m:rPr>
            <m:sty m:val="p"/>
          </m:rPr>
          <w:rPr>
            <w:rFonts w:ascii="Cambria Math" w:hAnsi="Cambria Math"/>
            <w:sz w:val="20"/>
            <w:szCs w:val="20"/>
          </w:rPr>
          <m:t xml:space="preserve"> = .019)</m:t>
        </m:r>
      </m:oMath>
      <w:r w:rsidRPr="006D370B">
        <w:rPr>
          <w:rFonts w:ascii="Helvetica" w:hAnsi="Helvetica"/>
          <w:sz w:val="20"/>
          <w:szCs w:val="20"/>
        </w:rPr>
        <w:t>.</w:t>
      </w:r>
      <w:r w:rsidRPr="002C4C4E">
        <w:rPr>
          <w:rFonts w:ascii="Helvetica" w:hAnsi="Helvetica"/>
          <w:sz w:val="20"/>
          <w:szCs w:val="20"/>
        </w:rPr>
        <w:t xml:space="preserve"> </w:t>
      </w:r>
      <w:r w:rsidR="007E27D3" w:rsidRPr="002C4C4E">
        <w:rPr>
          <w:rFonts w:ascii="Helvetica" w:hAnsi="Helvetica"/>
          <w:sz w:val="20"/>
          <w:szCs w:val="20"/>
        </w:rPr>
        <w:t>In contrast,</w:t>
      </w:r>
      <w:r w:rsidR="007E27D3">
        <w:rPr>
          <w:rFonts w:ascii="Helvetica" w:hAnsi="Helvetica"/>
          <w:sz w:val="20"/>
          <w:szCs w:val="20"/>
        </w:rPr>
        <w:t xml:space="preserve"> d</w:t>
      </w:r>
      <w:r w:rsidRPr="002C4C4E">
        <w:rPr>
          <w:rFonts w:ascii="Helvetica" w:hAnsi="Helvetica"/>
          <w:sz w:val="20"/>
          <w:szCs w:val="20"/>
        </w:rPr>
        <w:t>uration of illness</w:t>
      </w:r>
      <w:r w:rsidR="00646381">
        <w:rPr>
          <w:rFonts w:ascii="Helvetica" w:hAnsi="Helvetica"/>
          <w:sz w:val="20"/>
          <w:szCs w:val="20"/>
        </w:rPr>
        <w:t xml:space="preserve">, </w:t>
      </w:r>
      <w:r w:rsidRPr="002C4C4E">
        <w:rPr>
          <w:rFonts w:ascii="Helvetica" w:hAnsi="Helvetica"/>
          <w:sz w:val="20"/>
          <w:szCs w:val="20"/>
        </w:rPr>
        <w:t xml:space="preserve">negative symptom severity and </w:t>
      </w:r>
      <w:r w:rsidR="00B54070" w:rsidRPr="009D1BC4">
        <w:rPr>
          <w:rFonts w:ascii="Helvetica" w:hAnsi="Helvetica"/>
          <w:color w:val="0E0E0E"/>
          <w:sz w:val="20"/>
          <w:szCs w:val="20"/>
        </w:rPr>
        <w:t>SCoRS</w:t>
      </w:r>
      <w:r w:rsidRPr="002C4C4E">
        <w:rPr>
          <w:rFonts w:ascii="Helvetica" w:hAnsi="Helvetica"/>
          <w:sz w:val="20"/>
          <w:szCs w:val="20"/>
        </w:rPr>
        <w:t xml:space="preserve"> scores were not significantly associated with either α or β. </w:t>
      </w:r>
    </w:p>
    <w:p w14:paraId="0B64C031" w14:textId="2ED6F9C2" w:rsidR="00C830CD" w:rsidRPr="009D1BC4" w:rsidRDefault="00C830CD" w:rsidP="009D1BC4">
      <w:pPr>
        <w:pStyle w:val="Duz2"/>
        <w:jc w:val="both"/>
        <w:rPr>
          <w:rFonts w:ascii="Helvetica" w:hAnsi="Helvetica"/>
          <w:bCs/>
          <w:sz w:val="20"/>
          <w:szCs w:val="20"/>
        </w:rPr>
      </w:pPr>
      <w:r w:rsidRPr="009D1BC4">
        <w:rPr>
          <w:rFonts w:ascii="Helvetica" w:hAnsi="Helvetica"/>
          <w:bCs/>
          <w:sz w:val="20"/>
          <w:szCs w:val="20"/>
        </w:rPr>
        <w:lastRenderedPageBreak/>
        <w:t>3.</w:t>
      </w:r>
      <w:r w:rsidR="00E518CB" w:rsidRPr="009D1BC4">
        <w:rPr>
          <w:rFonts w:ascii="Helvetica" w:hAnsi="Helvetica"/>
          <w:bCs/>
          <w:sz w:val="20"/>
          <w:szCs w:val="20"/>
        </w:rPr>
        <w:t>5</w:t>
      </w:r>
      <w:r w:rsidRPr="009D1BC4">
        <w:rPr>
          <w:rFonts w:ascii="Helvetica" w:hAnsi="Helvetica"/>
          <w:bCs/>
          <w:sz w:val="20"/>
          <w:szCs w:val="20"/>
        </w:rPr>
        <w:t xml:space="preserve"> Trial-by-Trial Prediction Error Magnitudes</w:t>
      </w:r>
    </w:p>
    <w:p w14:paraId="165E232A" w14:textId="74533C00" w:rsidR="005F4640" w:rsidRPr="005F4640" w:rsidRDefault="005F4640" w:rsidP="005F4640">
      <w:pPr>
        <w:jc w:val="both"/>
        <w:rPr>
          <w:rFonts w:ascii="Helvetica" w:hAnsi="Helvetica"/>
          <w:sz w:val="20"/>
          <w:szCs w:val="20"/>
        </w:rPr>
      </w:pPr>
      <w:r w:rsidRPr="005F4640">
        <w:rPr>
          <w:rFonts w:ascii="Helvetica" w:hAnsi="Helvetica"/>
          <w:sz w:val="20"/>
          <w:szCs w:val="20"/>
        </w:rPr>
        <w:t>To characterize the temporal dynamics of learning, we examined the magnitude of absolute prediction errors (|PE|) across task blocks using a linear mixed-effects model</w:t>
      </w:r>
      <w:r w:rsidR="00C023E8" w:rsidRPr="009D1BC4">
        <w:rPr>
          <w:rFonts w:ascii="Helvetica" w:hAnsi="Helvetica"/>
          <w:sz w:val="20"/>
          <w:szCs w:val="20"/>
        </w:rPr>
        <w:t>, controlling for age and sex</w:t>
      </w:r>
      <w:r w:rsidRPr="005F4640">
        <w:rPr>
          <w:rFonts w:ascii="Helvetica" w:hAnsi="Helvetica"/>
          <w:sz w:val="20"/>
          <w:szCs w:val="20"/>
        </w:rPr>
        <w:t xml:space="preserve">. Neither age </w:t>
      </w:r>
      <w:r w:rsidRPr="000A3616">
        <w:rPr>
          <w:rFonts w:ascii="Helvetica" w:hAnsi="Helvetica"/>
          <w:sz w:val="20"/>
          <w:szCs w:val="20"/>
        </w:rPr>
        <w:t>(</w:t>
      </w:r>
      <m:oMath>
        <m:r>
          <w:rPr>
            <w:rFonts w:ascii="Cambria Math" w:hAnsi="Cambria Math"/>
            <w:sz w:val="20"/>
            <w:szCs w:val="20"/>
          </w:rPr>
          <m:t>p</m:t>
        </m:r>
        <m:r>
          <m:rPr>
            <m:sty m:val="p"/>
          </m:rPr>
          <w:rPr>
            <w:rFonts w:ascii="Cambria Math" w:hAnsi="Cambria Math"/>
            <w:sz w:val="20"/>
            <w:szCs w:val="20"/>
          </w:rPr>
          <m:t xml:space="preserve"> = .868</m:t>
        </m:r>
      </m:oMath>
      <w:r w:rsidRPr="000A3616">
        <w:rPr>
          <w:rFonts w:ascii="Helvetica" w:hAnsi="Helvetica"/>
          <w:sz w:val="20"/>
          <w:szCs w:val="20"/>
        </w:rPr>
        <w:t xml:space="preserve">) </w:t>
      </w:r>
      <w:r w:rsidRPr="005F4640">
        <w:rPr>
          <w:rFonts w:ascii="Helvetica" w:hAnsi="Helvetica"/>
          <w:sz w:val="20"/>
          <w:szCs w:val="20"/>
        </w:rPr>
        <w:t xml:space="preserve">nor sex </w:t>
      </w:r>
      <w:r w:rsidRPr="00456D57">
        <w:rPr>
          <w:rFonts w:ascii="Helvetica" w:hAnsi="Helvetica"/>
          <w:sz w:val="20"/>
          <w:szCs w:val="20"/>
        </w:rPr>
        <w:t>(</w:t>
      </w:r>
      <m:oMath>
        <m:r>
          <w:rPr>
            <w:rFonts w:ascii="Cambria Math" w:hAnsi="Cambria Math"/>
            <w:sz w:val="20"/>
            <w:szCs w:val="20"/>
          </w:rPr>
          <m:t>p</m:t>
        </m:r>
        <m:r>
          <m:rPr>
            <m:sty m:val="p"/>
          </m:rPr>
          <w:rPr>
            <w:rFonts w:ascii="Cambria Math" w:hAnsi="Cambria Math"/>
            <w:sz w:val="20"/>
            <w:szCs w:val="20"/>
          </w:rPr>
          <m:t xml:space="preserve"> = .852 </m:t>
        </m:r>
      </m:oMath>
      <w:r w:rsidRPr="005F4640">
        <w:rPr>
          <w:rFonts w:ascii="Helvetica" w:hAnsi="Helvetica"/>
          <w:sz w:val="20"/>
          <w:szCs w:val="20"/>
        </w:rPr>
        <w:t>predicted |PE|.</w:t>
      </w:r>
    </w:p>
    <w:p w14:paraId="0E75B62D" w14:textId="77777777" w:rsidR="005F4640" w:rsidRDefault="005F4640" w:rsidP="005F4640">
      <w:pPr>
        <w:jc w:val="both"/>
        <w:rPr>
          <w:rFonts w:ascii="Helvetica" w:hAnsi="Helvetica"/>
          <w:sz w:val="20"/>
          <w:szCs w:val="20"/>
        </w:rPr>
      </w:pPr>
    </w:p>
    <w:p w14:paraId="3477B057" w14:textId="34BC02E0" w:rsidR="005F4640" w:rsidRDefault="005F4640" w:rsidP="005F4640">
      <w:pPr>
        <w:jc w:val="both"/>
        <w:rPr>
          <w:rFonts w:ascii="Helvetica" w:hAnsi="Helvetica"/>
          <w:sz w:val="20"/>
          <w:szCs w:val="20"/>
        </w:rPr>
      </w:pPr>
      <w:r w:rsidRPr="005F4640">
        <w:rPr>
          <w:rFonts w:ascii="Helvetica" w:hAnsi="Helvetica"/>
          <w:sz w:val="20"/>
          <w:szCs w:val="20"/>
        </w:rPr>
        <w:t>At the group level, there was no significant main effect of diagnosis at baseline. However, a significant main effect of task block was observed: HC participants exhibited increased |PE| during the second (volatile) block relative to the initial block, consistent with adaptive sensitivity to environmental uncertainty</w:t>
      </w:r>
      <w:r>
        <w:rPr>
          <w:rFonts w:ascii="Helvetica" w:hAnsi="Helvetica"/>
          <w:sz w:val="20"/>
          <w:szCs w:val="20"/>
        </w:rPr>
        <w:t xml:space="preserve"> </w:t>
      </w:r>
      <w:r w:rsidRPr="009802E5">
        <w:rPr>
          <w:rFonts w:ascii="Helvetica" w:hAnsi="Helvetica"/>
          <w:sz w:val="20"/>
          <w:szCs w:val="20"/>
        </w:rPr>
        <w:t>(</w:t>
      </w:r>
      <m:oMath>
        <m:r>
          <w:rPr>
            <w:rFonts w:ascii="Cambria Math" w:hAnsi="Cambria Math"/>
            <w:sz w:val="20"/>
            <w:szCs w:val="20"/>
          </w:rPr>
          <m:t>Coefficient</m:t>
        </m:r>
        <m:r>
          <m:rPr>
            <m:sty m:val="p"/>
          </m:rPr>
          <w:rPr>
            <w:rFonts w:ascii="Cambria Math" w:hAnsi="Cambria Math"/>
            <w:sz w:val="20"/>
            <w:szCs w:val="20"/>
          </w:rPr>
          <m:t xml:space="preserve"> = 0.032, </m:t>
        </m:r>
        <m:r>
          <w:rPr>
            <w:rFonts w:ascii="Cambria Math" w:hAnsi="Cambria Math"/>
            <w:sz w:val="20"/>
            <w:szCs w:val="20"/>
          </w:rPr>
          <m:t>z</m:t>
        </m:r>
        <m:r>
          <m:rPr>
            <m:sty m:val="p"/>
          </m:rPr>
          <w:rPr>
            <w:rFonts w:ascii="Cambria Math" w:hAnsi="Cambria Math"/>
            <w:sz w:val="20"/>
            <w:szCs w:val="20"/>
          </w:rPr>
          <m:t xml:space="preserve"> = 2.74, </m:t>
        </m:r>
        <m:r>
          <w:rPr>
            <w:rFonts w:ascii="Cambria Math" w:hAnsi="Cambria Math"/>
            <w:sz w:val="20"/>
            <w:szCs w:val="20"/>
          </w:rPr>
          <m:t>p</m:t>
        </m:r>
        <m:r>
          <m:rPr>
            <m:sty m:val="p"/>
          </m:rPr>
          <w:rPr>
            <w:rFonts w:ascii="Cambria Math" w:hAnsi="Cambria Math"/>
            <w:sz w:val="20"/>
            <w:szCs w:val="20"/>
          </w:rPr>
          <m:t xml:space="preserve"> = .006</m:t>
        </m:r>
      </m:oMath>
      <w:r w:rsidRPr="009802E5">
        <w:rPr>
          <w:rFonts w:ascii="Helvetica" w:hAnsi="Helvetica"/>
          <w:sz w:val="20"/>
          <w:szCs w:val="20"/>
        </w:rPr>
        <w:t>).</w:t>
      </w:r>
    </w:p>
    <w:p w14:paraId="3FF1BA7C" w14:textId="77777777" w:rsidR="005F4640" w:rsidRPr="005F4640" w:rsidRDefault="005F4640" w:rsidP="005F4640">
      <w:pPr>
        <w:jc w:val="both"/>
        <w:rPr>
          <w:rFonts w:ascii="Helvetica" w:hAnsi="Helvetica"/>
          <w:sz w:val="20"/>
          <w:szCs w:val="20"/>
        </w:rPr>
      </w:pPr>
    </w:p>
    <w:p w14:paraId="5BFDB826" w14:textId="5D4A9A83" w:rsidR="00883EFD" w:rsidRPr="009D1BC4" w:rsidRDefault="005F4640" w:rsidP="009D1BC4">
      <w:pPr>
        <w:jc w:val="both"/>
        <w:rPr>
          <w:rFonts w:ascii="Helvetica" w:hAnsi="Helvetica"/>
          <w:sz w:val="20"/>
          <w:szCs w:val="20"/>
        </w:rPr>
      </w:pPr>
      <w:r w:rsidRPr="005F4640">
        <w:rPr>
          <w:rFonts w:ascii="Helvetica" w:hAnsi="Helvetica"/>
          <w:sz w:val="20"/>
          <w:szCs w:val="20"/>
        </w:rPr>
        <w:t>Critically, a significant group × block interaction emerged during this volatile phase</w:t>
      </w:r>
      <w:r>
        <w:rPr>
          <w:rFonts w:ascii="Helvetica" w:hAnsi="Helvetica"/>
          <w:sz w:val="20"/>
          <w:szCs w:val="20"/>
        </w:rPr>
        <w:t xml:space="preserve"> </w:t>
      </w:r>
      <w:r w:rsidRPr="0020793A">
        <w:rPr>
          <w:rFonts w:ascii="Helvetica" w:hAnsi="Helvetica"/>
          <w:sz w:val="20"/>
          <w:szCs w:val="20"/>
        </w:rPr>
        <w:t>(</w:t>
      </w:r>
      <m:oMath>
        <m:r>
          <w:rPr>
            <w:rFonts w:ascii="Cambria Math" w:hAnsi="Cambria Math"/>
            <w:sz w:val="20"/>
            <w:szCs w:val="20"/>
          </w:rPr>
          <m:t>Coefficient</m:t>
        </m:r>
        <m:r>
          <m:rPr>
            <m:sty m:val="p"/>
          </m:rPr>
          <w:rPr>
            <w:rFonts w:ascii="Cambria Math" w:hAnsi="Cambria Math"/>
            <w:sz w:val="20"/>
            <w:szCs w:val="20"/>
          </w:rPr>
          <m:t xml:space="preserve"> = -0.039, </m:t>
        </m:r>
        <m:r>
          <w:rPr>
            <w:rFonts w:ascii="Cambria Math" w:hAnsi="Cambria Math"/>
            <w:sz w:val="20"/>
            <w:szCs w:val="20"/>
          </w:rPr>
          <m:t>z</m:t>
        </m:r>
        <m:r>
          <m:rPr>
            <m:sty m:val="p"/>
          </m:rPr>
          <w:rPr>
            <w:rFonts w:ascii="Cambria Math" w:hAnsi="Cambria Math"/>
            <w:sz w:val="20"/>
            <w:szCs w:val="20"/>
          </w:rPr>
          <m:t xml:space="preserve"> = -2.07, </m:t>
        </m:r>
        <m:r>
          <w:rPr>
            <w:rFonts w:ascii="Cambria Math" w:hAnsi="Cambria Math"/>
            <w:sz w:val="20"/>
            <w:szCs w:val="20"/>
          </w:rPr>
          <m:t>p</m:t>
        </m:r>
        <m:r>
          <m:rPr>
            <m:sty m:val="p"/>
          </m:rPr>
          <w:rPr>
            <w:rFonts w:ascii="Cambria Math" w:hAnsi="Cambria Math"/>
            <w:sz w:val="20"/>
            <w:szCs w:val="20"/>
          </w:rPr>
          <m:t xml:space="preserve"> = .038</m:t>
        </m:r>
      </m:oMath>
      <w:r w:rsidRPr="0020793A">
        <w:rPr>
          <w:rFonts w:ascii="Helvetica" w:hAnsi="Helvetica"/>
          <w:sz w:val="20"/>
          <w:szCs w:val="20"/>
        </w:rPr>
        <w:t>).</w:t>
      </w:r>
      <w:r w:rsidR="0016227A">
        <w:rPr>
          <w:rFonts w:ascii="Helvetica" w:hAnsi="Helvetica"/>
          <w:sz w:val="20"/>
          <w:szCs w:val="20"/>
        </w:rPr>
        <w:t xml:space="preserve"> </w:t>
      </w:r>
      <w:r w:rsidRPr="005F4640">
        <w:rPr>
          <w:rFonts w:ascii="Helvetica" w:hAnsi="Helvetica"/>
          <w:sz w:val="20"/>
          <w:szCs w:val="20"/>
        </w:rPr>
        <w:t>While HC participants showed the expected increase in |PE|, SZ participants exhibited a blunted response, failing to scale prediction error magnitude in response to increased environmental unpredictability. No significant group differences were observed in the final block, indicating stabilization of learning signals</w:t>
      </w:r>
      <w:r>
        <w:rPr>
          <w:rFonts w:ascii="Helvetica" w:hAnsi="Helvetica"/>
          <w:sz w:val="20"/>
          <w:szCs w:val="20"/>
        </w:rPr>
        <w:t xml:space="preserve"> </w:t>
      </w:r>
      <w:r w:rsidRPr="00D5245B">
        <w:rPr>
          <w:rFonts w:ascii="Helvetica" w:hAnsi="Helvetica"/>
          <w:sz w:val="20"/>
          <w:szCs w:val="20"/>
        </w:rPr>
        <w:t>(</w:t>
      </w:r>
      <m:oMath>
        <m:r>
          <w:rPr>
            <w:rFonts w:ascii="Cambria Math" w:hAnsi="Cambria Math"/>
            <w:sz w:val="20"/>
            <w:szCs w:val="20"/>
          </w:rPr>
          <m:t>p</m:t>
        </m:r>
        <m:r>
          <m:rPr>
            <m:sty m:val="p"/>
          </m:rPr>
          <w:rPr>
            <w:rFonts w:ascii="Cambria Math" w:hAnsi="Cambria Math"/>
            <w:sz w:val="20"/>
            <w:szCs w:val="20"/>
          </w:rPr>
          <m:t xml:space="preserve"> = .878</m:t>
        </m:r>
      </m:oMath>
      <w:r w:rsidRPr="00D5245B">
        <w:rPr>
          <w:rFonts w:ascii="Helvetica" w:hAnsi="Helvetica"/>
          <w:sz w:val="20"/>
          <w:szCs w:val="20"/>
        </w:rPr>
        <w:t>).</w:t>
      </w:r>
    </w:p>
    <w:p w14:paraId="08DE7116" w14:textId="76809BF2" w:rsidR="00883EFD" w:rsidRPr="009D1BC4" w:rsidRDefault="00883EFD" w:rsidP="009D1BC4">
      <w:pPr>
        <w:pStyle w:val="Duz2"/>
        <w:jc w:val="both"/>
        <w:rPr>
          <w:rFonts w:ascii="Helvetica" w:hAnsi="Helvetica"/>
          <w:bCs/>
          <w:sz w:val="20"/>
          <w:szCs w:val="20"/>
        </w:rPr>
      </w:pPr>
      <w:r w:rsidRPr="009D1BC4">
        <w:rPr>
          <w:rFonts w:ascii="Helvetica" w:hAnsi="Helvetica"/>
          <w:bCs/>
          <w:sz w:val="20"/>
          <w:szCs w:val="20"/>
        </w:rPr>
        <w:t>3.6 Neural Correlates of Prediction Error</w:t>
      </w:r>
    </w:p>
    <w:p w14:paraId="6B66FAE0" w14:textId="3E912310" w:rsidR="00883EFD" w:rsidRDefault="00883EFD">
      <w:pPr>
        <w:jc w:val="both"/>
        <w:rPr>
          <w:rFonts w:ascii="Helvetica" w:hAnsi="Helvetica"/>
          <w:sz w:val="20"/>
          <w:szCs w:val="20"/>
        </w:rPr>
      </w:pPr>
      <w:r w:rsidRPr="009D1BC4">
        <w:rPr>
          <w:rFonts w:ascii="Helvetica" w:hAnsi="Helvetica"/>
          <w:sz w:val="20"/>
          <w:szCs w:val="20"/>
        </w:rPr>
        <w:t xml:space="preserve">To identify the neural substrates of computational learning, we first examined BOLD signals parametrically modulated by normalized trial-by-trial prediction errors (PE) at the onset of trustee feedback. Within the HC group, whole-brain analysis (height threshold </w:t>
      </w:r>
      <m:oMath>
        <m:r>
          <w:rPr>
            <w:rFonts w:ascii="Cambria Math" w:hAnsi="Cambria Math"/>
            <w:sz w:val="20"/>
            <w:szCs w:val="20"/>
          </w:rPr>
          <m:t>p</m:t>
        </m:r>
        <m:r>
          <m:rPr>
            <m:sty m:val="p"/>
          </m:rPr>
          <w:rPr>
            <w:rFonts w:ascii="Cambria Math" w:hAnsi="Cambria Math"/>
            <w:sz w:val="20"/>
            <w:szCs w:val="20"/>
          </w:rPr>
          <m:t xml:space="preserve"> &lt; 0.001</m:t>
        </m:r>
      </m:oMath>
      <w:r w:rsidRPr="009D1BC4">
        <w:rPr>
          <w:rFonts w:ascii="Helvetica" w:hAnsi="Helvetica"/>
          <w:sz w:val="20"/>
          <w:szCs w:val="20"/>
        </w:rPr>
        <w:t xml:space="preserve"> uncorrected; cluster extent FWE-corrected </w:t>
      </w:r>
      <m:oMath>
        <m:r>
          <w:rPr>
            <w:rFonts w:ascii="Cambria Math" w:hAnsi="Cambria Math"/>
            <w:sz w:val="20"/>
            <w:szCs w:val="20"/>
          </w:rPr>
          <m:t>p</m:t>
        </m:r>
        <m:r>
          <m:rPr>
            <m:sty m:val="p"/>
          </m:rPr>
          <w:rPr>
            <w:rFonts w:ascii="Cambria Math" w:hAnsi="Cambria Math"/>
            <w:sz w:val="20"/>
            <w:szCs w:val="20"/>
          </w:rPr>
          <m:t xml:space="preserve"> &lt; 0.05</m:t>
        </m:r>
      </m:oMath>
      <w:r w:rsidRPr="009D1BC4">
        <w:rPr>
          <w:rFonts w:ascii="Helvetica" w:hAnsi="Helvetica"/>
          <w:sz w:val="20"/>
          <w:szCs w:val="20"/>
        </w:rPr>
        <w:t xml:space="preserve">) revealed </w:t>
      </w:r>
      <w:r w:rsidR="00DE54DE" w:rsidRPr="009D1BC4">
        <w:rPr>
          <w:rFonts w:ascii="Helvetica" w:hAnsi="Helvetica"/>
          <w:sz w:val="20"/>
          <w:szCs w:val="20"/>
        </w:rPr>
        <w:t xml:space="preserve">robust activation tracking PE. The most prominent cluster </w:t>
      </w:r>
      <w:r w:rsidRPr="009D1BC4">
        <w:rPr>
          <w:rFonts w:ascii="Helvetica" w:hAnsi="Helvetica"/>
          <w:sz w:val="20"/>
          <w:szCs w:val="20"/>
        </w:rPr>
        <w:t>(</w:t>
      </w:r>
      <m:oMath>
        <m:r>
          <w:rPr>
            <w:rFonts w:ascii="Cambria Math" w:hAnsi="Cambria Math"/>
            <w:sz w:val="20"/>
            <w:szCs w:val="20"/>
          </w:rPr>
          <m:t>k</m:t>
        </m:r>
        <m:r>
          <m:rPr>
            <m:sty m:val="p"/>
          </m:rPr>
          <w:rPr>
            <w:rFonts w:ascii="Cambria Math" w:hAnsi="Cambria Math"/>
            <w:sz w:val="20"/>
            <w:szCs w:val="20"/>
          </w:rPr>
          <m:t xml:space="preserve"> = 1833 </m:t>
        </m:r>
      </m:oMath>
      <w:r w:rsidRPr="009D1BC4">
        <w:rPr>
          <w:rFonts w:ascii="Helvetica" w:hAnsi="Helvetica"/>
          <w:sz w:val="20"/>
          <w:szCs w:val="20"/>
        </w:rPr>
        <w:t>voxels) peaked in the left visual/occipital cortex (Peak MNI: [-</w:t>
      </w:r>
      <w:r w:rsidR="00DE54DE" w:rsidRPr="009D1BC4">
        <w:rPr>
          <w:rFonts w:ascii="Helvetica" w:hAnsi="Helvetica"/>
          <w:sz w:val="20"/>
          <w:szCs w:val="20"/>
        </w:rPr>
        <w:t>42</w:t>
      </w:r>
      <w:r w:rsidRPr="009D1BC4">
        <w:rPr>
          <w:rFonts w:ascii="Helvetica" w:hAnsi="Helvetica"/>
          <w:sz w:val="20"/>
          <w:szCs w:val="20"/>
        </w:rPr>
        <w:t>, -</w:t>
      </w:r>
      <w:r w:rsidR="00DE54DE" w:rsidRPr="009D1BC4">
        <w:rPr>
          <w:rFonts w:ascii="Helvetica" w:hAnsi="Helvetica"/>
          <w:sz w:val="20"/>
          <w:szCs w:val="20"/>
        </w:rPr>
        <w:t>67</w:t>
      </w:r>
      <w:r w:rsidRPr="009D1BC4">
        <w:rPr>
          <w:rFonts w:ascii="Helvetica" w:hAnsi="Helvetica"/>
          <w:sz w:val="20"/>
          <w:szCs w:val="20"/>
        </w:rPr>
        <w:t>, -</w:t>
      </w:r>
      <w:r w:rsidR="00DE54DE" w:rsidRPr="009D1BC4">
        <w:rPr>
          <w:rFonts w:ascii="Helvetica" w:hAnsi="Helvetica"/>
          <w:sz w:val="20"/>
          <w:szCs w:val="20"/>
        </w:rPr>
        <w:t>7</w:t>
      </w:r>
      <w:r w:rsidRPr="009D1BC4">
        <w:rPr>
          <w:rFonts w:ascii="Helvetica" w:hAnsi="Helvetica"/>
          <w:sz w:val="20"/>
          <w:szCs w:val="20"/>
        </w:rPr>
        <w:t xml:space="preserve">], </w:t>
      </w:r>
      <m:oMath>
        <m:r>
          <w:rPr>
            <w:rFonts w:ascii="Cambria Math" w:hAnsi="Cambria Math"/>
            <w:sz w:val="20"/>
            <w:szCs w:val="20"/>
          </w:rPr>
          <m:t>Z</m:t>
        </m:r>
        <m:r>
          <m:rPr>
            <m:sty m:val="p"/>
          </m:rPr>
          <w:rPr>
            <w:rFonts w:ascii="Cambria Math" w:hAnsi="Cambria Math"/>
            <w:sz w:val="20"/>
            <w:szCs w:val="20"/>
          </w:rPr>
          <m:t xml:space="preserve"> = 5.82</m:t>
        </m:r>
      </m:oMath>
      <w:r w:rsidRPr="009D1BC4">
        <w:rPr>
          <w:rFonts w:ascii="Helvetica" w:hAnsi="Helvetica"/>
          <w:sz w:val="20"/>
          <w:szCs w:val="20"/>
        </w:rPr>
        <w:t xml:space="preserve">, peak </w:t>
      </w:r>
      <m:oMath>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FWE</m:t>
            </m:r>
          </m:sub>
        </m:sSub>
        <m:r>
          <m:rPr>
            <m:sty m:val="p"/>
          </m:rPr>
          <w:rPr>
            <w:rFonts w:ascii="Cambria Math" w:hAnsi="Cambria Math"/>
            <w:sz w:val="20"/>
            <w:szCs w:val="20"/>
          </w:rPr>
          <m:t xml:space="preserve"> = 0.005</m:t>
        </m:r>
      </m:oMath>
      <w:r w:rsidRPr="009D1BC4">
        <w:rPr>
          <w:rFonts w:ascii="Helvetica" w:hAnsi="Helvetica"/>
          <w:sz w:val="20"/>
          <w:szCs w:val="20"/>
        </w:rPr>
        <w:t>). A second significant cluster (</w:t>
      </w:r>
      <m:oMath>
        <m:r>
          <w:rPr>
            <w:rFonts w:ascii="Cambria Math" w:hAnsi="Cambria Math"/>
            <w:sz w:val="20"/>
            <w:szCs w:val="20"/>
          </w:rPr>
          <m:t>k</m:t>
        </m:r>
        <m:r>
          <m:rPr>
            <m:sty m:val="p"/>
          </m:rPr>
          <w:rPr>
            <w:rFonts w:ascii="Cambria Math" w:hAnsi="Cambria Math"/>
            <w:sz w:val="20"/>
            <w:szCs w:val="20"/>
          </w:rPr>
          <m:t xml:space="preserve"> = 223</m:t>
        </m:r>
      </m:oMath>
      <w:r w:rsidRPr="009D1BC4">
        <w:rPr>
          <w:rFonts w:ascii="Helvetica" w:hAnsi="Helvetica"/>
          <w:sz w:val="20"/>
          <w:szCs w:val="20"/>
        </w:rPr>
        <w:t xml:space="preserve"> voxels) was identified in the </w:t>
      </w:r>
      <w:r w:rsidR="00DE54DE" w:rsidRPr="009D1BC4">
        <w:rPr>
          <w:rFonts w:ascii="Helvetica" w:hAnsi="Helvetica"/>
          <w:sz w:val="20"/>
          <w:szCs w:val="20"/>
        </w:rPr>
        <w:t xml:space="preserve">caudate/nucleus accumbens regions </w:t>
      </w:r>
      <w:r w:rsidRPr="009D1BC4">
        <w:rPr>
          <w:rFonts w:ascii="Helvetica" w:hAnsi="Helvetica"/>
          <w:sz w:val="20"/>
          <w:szCs w:val="20"/>
        </w:rPr>
        <w:t xml:space="preserve">(Peak MNI: [12, </w:t>
      </w:r>
      <w:r w:rsidR="00DE54DE" w:rsidRPr="009D1BC4">
        <w:rPr>
          <w:rFonts w:ascii="Helvetica" w:hAnsi="Helvetica"/>
          <w:sz w:val="20"/>
          <w:szCs w:val="20"/>
        </w:rPr>
        <w:t>20</w:t>
      </w:r>
      <w:r w:rsidRPr="009D1BC4">
        <w:rPr>
          <w:rFonts w:ascii="Helvetica" w:hAnsi="Helvetica"/>
          <w:sz w:val="20"/>
          <w:szCs w:val="20"/>
        </w:rPr>
        <w:t xml:space="preserve">, </w:t>
      </w:r>
      <w:r w:rsidR="00DE54DE" w:rsidRPr="009D1BC4">
        <w:rPr>
          <w:rFonts w:ascii="Helvetica" w:hAnsi="Helvetica"/>
          <w:sz w:val="20"/>
          <w:szCs w:val="20"/>
        </w:rPr>
        <w:t>-1</w:t>
      </w:r>
      <w:r w:rsidRPr="009D1BC4">
        <w:rPr>
          <w:rFonts w:ascii="Helvetica" w:hAnsi="Helvetica"/>
          <w:sz w:val="20"/>
          <w:szCs w:val="20"/>
        </w:rPr>
        <w:t xml:space="preserve">], </w:t>
      </w:r>
      <m:oMath>
        <m:r>
          <w:rPr>
            <w:rFonts w:ascii="Cambria Math" w:hAnsi="Cambria Math"/>
            <w:sz w:val="20"/>
            <w:szCs w:val="20"/>
          </w:rPr>
          <m:t>Z</m:t>
        </m:r>
        <m:r>
          <m:rPr>
            <m:sty m:val="p"/>
          </m:rPr>
          <w:rPr>
            <w:rFonts w:ascii="Cambria Math" w:hAnsi="Cambria Math"/>
            <w:sz w:val="20"/>
            <w:szCs w:val="20"/>
          </w:rPr>
          <m:t xml:space="preserve"> = 4.73</m:t>
        </m:r>
      </m:oMath>
      <w:r w:rsidRPr="009D1BC4">
        <w:rPr>
          <w:rFonts w:ascii="Helvetica" w:hAnsi="Helvetica"/>
          <w:sz w:val="20"/>
          <w:szCs w:val="20"/>
        </w:rPr>
        <w:t xml:space="preserve">, peak </w:t>
      </w:r>
      <m:oMath>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FWE</m:t>
            </m:r>
          </m:sub>
        </m:sSub>
        <m:r>
          <m:rPr>
            <m:sty m:val="p"/>
          </m:rPr>
          <w:rPr>
            <w:rFonts w:ascii="Cambria Math" w:hAnsi="Cambria Math"/>
            <w:sz w:val="20"/>
            <w:szCs w:val="20"/>
          </w:rPr>
          <m:t xml:space="preserve"> = 0.016</m:t>
        </m:r>
      </m:oMath>
      <w:r w:rsidRPr="009D1BC4">
        <w:rPr>
          <w:rFonts w:ascii="Helvetica" w:hAnsi="Helvetica"/>
          <w:sz w:val="20"/>
          <w:szCs w:val="20"/>
        </w:rPr>
        <w:t xml:space="preserve">). </w:t>
      </w:r>
      <w:r w:rsidR="00DE54DE" w:rsidRPr="009D1BC4">
        <w:rPr>
          <w:rFonts w:ascii="Helvetica" w:hAnsi="Helvetica"/>
          <w:sz w:val="20"/>
          <w:szCs w:val="20"/>
        </w:rPr>
        <w:t xml:space="preserve">Lastly, </w:t>
      </w:r>
      <w:r w:rsidR="00337F2E" w:rsidRPr="009D1BC4">
        <w:rPr>
          <w:rFonts w:ascii="Helvetica" w:hAnsi="Helvetica"/>
          <w:sz w:val="20"/>
          <w:szCs w:val="20"/>
        </w:rPr>
        <w:t xml:space="preserve">a smaller cluster (k=27) was significant at right ventral striatum (Peak MNI: [15, -7, -13], </w:t>
      </w:r>
      <m:oMath>
        <m:r>
          <w:rPr>
            <w:rFonts w:ascii="Cambria Math" w:hAnsi="Cambria Math"/>
            <w:sz w:val="20"/>
            <w:szCs w:val="20"/>
          </w:rPr>
          <m:t>Z</m:t>
        </m:r>
        <m:r>
          <m:rPr>
            <m:sty m:val="p"/>
          </m:rPr>
          <w:rPr>
            <w:rFonts w:ascii="Cambria Math" w:hAnsi="Cambria Math"/>
            <w:sz w:val="20"/>
            <w:szCs w:val="20"/>
          </w:rPr>
          <m:t xml:space="preserve"> = 4.54</m:t>
        </m:r>
      </m:oMath>
      <w:r w:rsidR="00337F2E" w:rsidRPr="009D1BC4">
        <w:rPr>
          <w:rFonts w:ascii="Helvetica" w:hAnsi="Helvetica"/>
          <w:sz w:val="20"/>
          <w:szCs w:val="20"/>
        </w:rPr>
        <w:t xml:space="preserve">, peak </w:t>
      </w:r>
      <m:oMath>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FWE</m:t>
            </m:r>
          </m:sub>
        </m:sSub>
        <m:r>
          <m:rPr>
            <m:sty m:val="p"/>
          </m:rPr>
          <w:rPr>
            <w:rFonts w:ascii="Cambria Math" w:hAnsi="Cambria Math"/>
            <w:sz w:val="20"/>
            <w:szCs w:val="20"/>
          </w:rPr>
          <m:t xml:space="preserve"> = 0.036</m:t>
        </m:r>
      </m:oMath>
      <w:r w:rsidR="00337F2E" w:rsidRPr="009D1BC4">
        <w:rPr>
          <w:rFonts w:ascii="Helvetica" w:hAnsi="Helvetica"/>
          <w:sz w:val="20"/>
          <w:szCs w:val="20"/>
        </w:rPr>
        <w:t xml:space="preserve">). </w:t>
      </w:r>
      <w:r w:rsidR="005F4640" w:rsidRPr="005F4640">
        <w:rPr>
          <w:rFonts w:ascii="Helvetica" w:hAnsi="Helvetica"/>
          <w:sz w:val="20"/>
          <w:szCs w:val="20"/>
        </w:rPr>
        <w:t xml:space="preserve">These findings confirm that healthy participants exhibited reliable neural </w:t>
      </w:r>
      <w:r w:rsidR="005F3419" w:rsidRPr="005F4640">
        <w:rPr>
          <w:rFonts w:ascii="Helvetica" w:hAnsi="Helvetica"/>
          <w:sz w:val="20"/>
          <w:szCs w:val="20"/>
        </w:rPr>
        <w:t>encoding</w:t>
      </w:r>
      <w:r w:rsidR="005F4640" w:rsidRPr="005F4640">
        <w:rPr>
          <w:rFonts w:ascii="Helvetica" w:hAnsi="Helvetica"/>
          <w:sz w:val="20"/>
          <w:szCs w:val="20"/>
        </w:rPr>
        <w:t xml:space="preserve"> prediction errors across both reward-related and sensory-processing regions</w:t>
      </w:r>
      <w:r w:rsidR="00337F2E" w:rsidRPr="009D1BC4">
        <w:rPr>
          <w:rFonts w:ascii="Helvetica" w:hAnsi="Helvetica"/>
          <w:sz w:val="20"/>
          <w:szCs w:val="20"/>
        </w:rPr>
        <w:t>.</w:t>
      </w:r>
    </w:p>
    <w:p w14:paraId="7C2E3F3D" w14:textId="77777777" w:rsidR="00BA73C8" w:rsidRPr="009D1BC4" w:rsidRDefault="00BA73C8" w:rsidP="009D1BC4">
      <w:pPr>
        <w:jc w:val="both"/>
        <w:rPr>
          <w:rFonts w:ascii="Helvetica" w:hAnsi="Helvetica"/>
          <w:sz w:val="20"/>
          <w:szCs w:val="20"/>
        </w:rPr>
      </w:pPr>
    </w:p>
    <w:p w14:paraId="5FC82B85" w14:textId="7BE2B53D" w:rsidR="00883EFD" w:rsidRPr="009D1BC4" w:rsidRDefault="00883EFD" w:rsidP="009D1BC4">
      <w:pPr>
        <w:pStyle w:val="Duz2"/>
        <w:jc w:val="both"/>
        <w:rPr>
          <w:rFonts w:ascii="Helvetica" w:hAnsi="Helvetica"/>
          <w:bCs/>
          <w:sz w:val="20"/>
          <w:szCs w:val="20"/>
        </w:rPr>
      </w:pPr>
      <w:r w:rsidRPr="009D1BC4">
        <w:rPr>
          <w:rFonts w:ascii="Helvetica" w:hAnsi="Helvetica"/>
          <w:bCs/>
          <w:sz w:val="20"/>
          <w:szCs w:val="20"/>
        </w:rPr>
        <w:t xml:space="preserve">3.7 Group Differences in Prediction Error Signaling </w:t>
      </w:r>
    </w:p>
    <w:p w14:paraId="682DDFCD" w14:textId="6925D66A" w:rsidR="00883EFD" w:rsidRPr="009D1BC4" w:rsidRDefault="005F4640" w:rsidP="009D1BC4">
      <w:pPr>
        <w:jc w:val="both"/>
        <w:rPr>
          <w:rFonts w:ascii="Helvetica" w:hAnsi="Helvetica"/>
          <w:sz w:val="20"/>
          <w:szCs w:val="20"/>
        </w:rPr>
      </w:pPr>
      <w:r w:rsidRPr="005F4640">
        <w:rPr>
          <w:rFonts w:ascii="Helvetica" w:hAnsi="Helvetica"/>
          <w:sz w:val="20"/>
          <w:szCs w:val="20"/>
        </w:rPr>
        <w:t>Direct comparison between groups (HC &gt; SZ) revealed a significant reduction in PE-related neural activation in the SZ cohort. Specifically, SZ participants exhibited attenuated BOLD responses within a large cluster encompassing the left lateral occipital cortex and middle occipital gyrus, extending into the fusiform gyrus</w:t>
      </w:r>
      <w:r w:rsidR="005F3419">
        <w:rPr>
          <w:rFonts w:ascii="Helvetica" w:hAnsi="Helvetica"/>
          <w:sz w:val="20"/>
          <w:szCs w:val="20"/>
        </w:rPr>
        <w:t>.</w:t>
      </w:r>
      <w:r>
        <w:rPr>
          <w:rFonts w:ascii="Helvetica" w:hAnsi="Helvetica"/>
          <w:sz w:val="20"/>
          <w:szCs w:val="20"/>
        </w:rPr>
        <w:t xml:space="preserve"> </w:t>
      </w:r>
      <w:r w:rsidR="00714B07" w:rsidRPr="009D1BC4">
        <w:rPr>
          <w:rFonts w:ascii="Helvetica" w:hAnsi="Helvetica"/>
          <w:sz w:val="20"/>
          <w:szCs w:val="20"/>
        </w:rPr>
        <w:t xml:space="preserve">(Peak MNI: [-27, -70, -1], cluster size </w:t>
      </w:r>
      <m:oMath>
        <m:r>
          <w:rPr>
            <w:rFonts w:ascii="Cambria Math" w:hAnsi="Cambria Math"/>
            <w:sz w:val="20"/>
            <w:szCs w:val="20"/>
          </w:rPr>
          <m:t>k</m:t>
        </m:r>
        <m:r>
          <m:rPr>
            <m:sty m:val="p"/>
          </m:rPr>
          <w:rPr>
            <w:rFonts w:ascii="Cambria Math" w:hAnsi="Cambria Math"/>
            <w:sz w:val="20"/>
            <w:szCs w:val="20"/>
          </w:rPr>
          <m:t xml:space="preserve"> = 177</m:t>
        </m:r>
      </m:oMath>
      <w:r w:rsidR="00714B07" w:rsidRPr="009D1BC4">
        <w:rPr>
          <w:rFonts w:ascii="Helvetica" w:hAnsi="Helvetica"/>
          <w:sz w:val="20"/>
          <w:szCs w:val="20"/>
        </w:rPr>
        <w:t xml:space="preserve"> voxels, peak </w:t>
      </w:r>
      <m:oMath>
        <m:r>
          <w:rPr>
            <w:rFonts w:ascii="Cambria Math" w:hAnsi="Cambria Math"/>
            <w:sz w:val="20"/>
            <w:szCs w:val="20"/>
          </w:rPr>
          <m:t>Z</m:t>
        </m:r>
        <m:r>
          <m:rPr>
            <m:sty m:val="p"/>
          </m:rPr>
          <w:rPr>
            <w:rFonts w:ascii="Cambria Math" w:hAnsi="Cambria Math"/>
            <w:sz w:val="20"/>
            <w:szCs w:val="20"/>
          </w:rPr>
          <m:t xml:space="preserve"> = 4.83</m:t>
        </m:r>
      </m:oMath>
      <w:r w:rsidR="00714B07" w:rsidRPr="009D1BC4">
        <w:rPr>
          <w:rFonts w:ascii="Helvetica" w:hAnsi="Helvetica"/>
          <w:sz w:val="20"/>
          <w:szCs w:val="20"/>
        </w:rPr>
        <w:t xml:space="preserve">, </w:t>
      </w:r>
      <w:r w:rsidR="00337F2E" w:rsidRPr="009D1BC4">
        <w:rPr>
          <w:rFonts w:ascii="Helvetica" w:hAnsi="Helvetica"/>
          <w:sz w:val="20"/>
          <w:szCs w:val="20"/>
        </w:rPr>
        <w:t>peak</w:t>
      </w:r>
      <w:r w:rsidR="00714B07" w:rsidRPr="009D1BC4">
        <w:rPr>
          <w:rFonts w:ascii="Helvetica" w:hAnsi="Helvetica"/>
          <w:sz w:val="20"/>
          <w:szCs w:val="20"/>
        </w:rPr>
        <w:t xml:space="preserve"> </w:t>
      </w:r>
      <m:oMath>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FWE</m:t>
            </m:r>
          </m:sub>
        </m:sSub>
      </m:oMath>
      <w:r w:rsidR="00714B07" w:rsidRPr="002D3B82">
        <w:rPr>
          <w:rFonts w:ascii="Helvetica" w:hAnsi="Helvetica"/>
          <w:sz w:val="20"/>
          <w:szCs w:val="20"/>
        </w:rPr>
        <w:t xml:space="preserve"> = 0.001). No regions showed significantly greater PE-related activation in the SZ group compared to </w:t>
      </w:r>
      <w:r>
        <w:rPr>
          <w:rFonts w:ascii="Helvetica" w:hAnsi="Helvetica"/>
          <w:sz w:val="20"/>
          <w:szCs w:val="20"/>
        </w:rPr>
        <w:t>HC</w:t>
      </w:r>
      <w:r w:rsidR="00714B07" w:rsidRPr="009D1BC4">
        <w:rPr>
          <w:rFonts w:ascii="Helvetica" w:hAnsi="Helvetica"/>
          <w:sz w:val="20"/>
          <w:szCs w:val="20"/>
        </w:rPr>
        <w:t xml:space="preserve">. </w:t>
      </w:r>
    </w:p>
    <w:p w14:paraId="636DC37C" w14:textId="77777777" w:rsidR="00714B07" w:rsidRPr="009D1BC4" w:rsidRDefault="00714B07" w:rsidP="009D1BC4">
      <w:pPr>
        <w:jc w:val="both"/>
        <w:rPr>
          <w:rFonts w:ascii="Helvetica" w:hAnsi="Helvetica"/>
          <w:sz w:val="20"/>
          <w:szCs w:val="20"/>
        </w:rPr>
      </w:pPr>
    </w:p>
    <w:p w14:paraId="3C206CF1" w14:textId="77777777" w:rsidR="00714B07" w:rsidRPr="009D1BC4" w:rsidRDefault="00714B07" w:rsidP="009D1BC4">
      <w:pPr>
        <w:jc w:val="both"/>
        <w:rPr>
          <w:rFonts w:ascii="Helvetica" w:hAnsi="Helvetica"/>
          <w:sz w:val="20"/>
          <w:szCs w:val="20"/>
        </w:rPr>
      </w:pPr>
    </w:p>
    <w:p w14:paraId="77BAEC47" w14:textId="77777777" w:rsidR="00714B07" w:rsidRPr="009D1BC4" w:rsidRDefault="00714B07" w:rsidP="009D1BC4">
      <w:pPr>
        <w:jc w:val="both"/>
        <w:rPr>
          <w:rFonts w:ascii="Helvetica" w:hAnsi="Helvetica"/>
          <w:sz w:val="20"/>
          <w:szCs w:val="20"/>
        </w:rPr>
      </w:pPr>
    </w:p>
    <w:p w14:paraId="0717F822" w14:textId="77777777" w:rsidR="00714B07" w:rsidRPr="009D1BC4" w:rsidRDefault="00714B07" w:rsidP="009D1BC4">
      <w:pPr>
        <w:jc w:val="both"/>
        <w:rPr>
          <w:rFonts w:ascii="Helvetica" w:hAnsi="Helvetica"/>
          <w:sz w:val="20"/>
          <w:szCs w:val="20"/>
        </w:rPr>
      </w:pPr>
    </w:p>
    <w:p w14:paraId="62A05750" w14:textId="77777777" w:rsidR="00714B07" w:rsidRPr="009D1BC4" w:rsidRDefault="00714B07" w:rsidP="009D1BC4">
      <w:pPr>
        <w:jc w:val="both"/>
        <w:rPr>
          <w:rFonts w:ascii="Helvetica" w:hAnsi="Helvetica"/>
          <w:sz w:val="20"/>
          <w:szCs w:val="20"/>
        </w:rPr>
      </w:pPr>
    </w:p>
    <w:p w14:paraId="5E6B81D1" w14:textId="551A8088" w:rsidR="00714B07" w:rsidRPr="009D1BC4" w:rsidRDefault="009236F1" w:rsidP="009D1BC4">
      <w:pPr>
        <w:jc w:val="both"/>
        <w:rPr>
          <w:rFonts w:ascii="Helvetica" w:hAnsi="Helvetica"/>
          <w:sz w:val="20"/>
          <w:szCs w:val="20"/>
        </w:rPr>
      </w:pPr>
      <w:r w:rsidRPr="009D1BC4">
        <w:rPr>
          <w:rFonts w:ascii="Helvetica" w:hAnsi="Helvetica"/>
          <w:noProof/>
          <w:sz w:val="20"/>
          <w:szCs w:val="20"/>
          <w14:ligatures w14:val="standardContextual"/>
        </w:rPr>
        <w:lastRenderedPageBreak/>
        <w:drawing>
          <wp:inline distT="0" distB="0" distL="0" distR="0" wp14:anchorId="74C1D2EB" wp14:editId="532F7460">
            <wp:extent cx="5040000" cy="2347200"/>
            <wp:effectExtent l="0" t="0" r="1905" b="2540"/>
            <wp:docPr id="1538046135" name="Picture 1" descr="A close-up of a b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046135" name="Picture 1" descr="A close-up of a brain&#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40000" cy="2347200"/>
                    </a:xfrm>
                    <a:prstGeom prst="rect">
                      <a:avLst/>
                    </a:prstGeom>
                  </pic:spPr>
                </pic:pic>
              </a:graphicData>
            </a:graphic>
          </wp:inline>
        </w:drawing>
      </w:r>
    </w:p>
    <w:p w14:paraId="7411D39E" w14:textId="1A02BA46" w:rsidR="00E03EF7" w:rsidRPr="009D1BC4" w:rsidRDefault="00E03EF7" w:rsidP="009D1BC4">
      <w:pPr>
        <w:spacing w:line="240" w:lineRule="auto"/>
        <w:jc w:val="both"/>
        <w:rPr>
          <w:rFonts w:ascii="Helvetica" w:hAnsi="Helvetica"/>
          <w:sz w:val="20"/>
          <w:szCs w:val="20"/>
        </w:rPr>
      </w:pPr>
      <w:r w:rsidRPr="009D1BC4">
        <w:rPr>
          <w:rFonts w:ascii="Helvetica" w:hAnsi="Helvetica"/>
          <w:sz w:val="20"/>
          <w:szCs w:val="20"/>
        </w:rPr>
        <w:t xml:space="preserve">Figure 5. </w:t>
      </w:r>
      <w:r w:rsidR="0011090A" w:rsidRPr="009D1BC4">
        <w:rPr>
          <w:rFonts w:ascii="Helvetica" w:hAnsi="Helvetica"/>
          <w:sz w:val="20"/>
          <w:szCs w:val="20"/>
        </w:rPr>
        <w:t xml:space="preserve">Neural correlates of social prediction error and group differences. Whole-brain parametric modulation analysis of BOLD signals tracking trial-by-trial prediction errors (PE) at the time of trustee feedback. (A) Within the Healthy Control (HC) group, positive PEs significantly engaged a network including the bilateral visual/occipital cortex, right caudate/nucleus accumbens, and right ventral striatum. (B) A two-sample t-test (HC &gt; SZ) revealed that patients with schizophrenia exhibited significantly blunted PE-related activation compared to controls, specifically within the left lateral occipital cortex and middle occipital gyrus extending into the fusiform gyrus. Statistical maps are thresholded at </w:t>
      </w:r>
      <m:oMath>
        <m:r>
          <w:rPr>
            <w:rFonts w:ascii="Cambria Math" w:hAnsi="Cambria Math"/>
            <w:sz w:val="20"/>
            <w:szCs w:val="20"/>
          </w:rPr>
          <m:t>p</m:t>
        </m:r>
        <m:r>
          <m:rPr>
            <m:sty m:val="p"/>
          </m:rPr>
          <w:rPr>
            <w:rFonts w:ascii="Cambria Math" w:hAnsi="Cambria Math"/>
            <w:sz w:val="20"/>
            <w:szCs w:val="20"/>
          </w:rPr>
          <m:t xml:space="preserve"> &lt; 0.001</m:t>
        </m:r>
      </m:oMath>
      <w:r w:rsidR="0011090A" w:rsidRPr="009D1BC4">
        <w:rPr>
          <w:rFonts w:ascii="Helvetica" w:hAnsi="Helvetica"/>
          <w:sz w:val="20"/>
          <w:szCs w:val="20"/>
        </w:rPr>
        <w:t xml:space="preserve"> (uncorrected) at the voxel level and FWE-corrected at </w:t>
      </w:r>
      <m:oMath>
        <m:r>
          <w:rPr>
            <w:rFonts w:ascii="Cambria Math" w:hAnsi="Cambria Math"/>
            <w:sz w:val="20"/>
            <w:szCs w:val="20"/>
          </w:rPr>
          <m:t>p</m:t>
        </m:r>
        <m:r>
          <m:rPr>
            <m:sty m:val="p"/>
          </m:rPr>
          <w:rPr>
            <w:rFonts w:ascii="Cambria Math" w:hAnsi="Cambria Math"/>
            <w:sz w:val="20"/>
            <w:szCs w:val="20"/>
          </w:rPr>
          <m:t xml:space="preserve"> &lt; 0.05</m:t>
        </m:r>
      </m:oMath>
      <w:r w:rsidR="0011090A" w:rsidRPr="009D1BC4">
        <w:rPr>
          <w:rFonts w:ascii="Helvetica" w:hAnsi="Helvetica"/>
          <w:sz w:val="20"/>
          <w:szCs w:val="20"/>
        </w:rPr>
        <w:t xml:space="preserve"> at the cluster level. Color bars represent Z-statistics.</w:t>
      </w:r>
    </w:p>
    <w:p w14:paraId="0F37257F" w14:textId="25302C0F" w:rsidR="00714B07" w:rsidRPr="009D1BC4" w:rsidRDefault="00714B07" w:rsidP="009D1BC4">
      <w:pPr>
        <w:jc w:val="both"/>
        <w:rPr>
          <w:rFonts w:ascii="Helvetica" w:hAnsi="Helvetica"/>
          <w:sz w:val="20"/>
          <w:szCs w:val="20"/>
        </w:rPr>
      </w:pPr>
    </w:p>
    <w:p w14:paraId="04C45C76" w14:textId="77777777" w:rsidR="00714B07" w:rsidRPr="009D1BC4" w:rsidRDefault="00714B07" w:rsidP="009D1BC4">
      <w:pPr>
        <w:jc w:val="both"/>
        <w:rPr>
          <w:rFonts w:ascii="Helvetica" w:hAnsi="Helvetica"/>
          <w:sz w:val="20"/>
          <w:szCs w:val="20"/>
        </w:rPr>
      </w:pPr>
    </w:p>
    <w:p w14:paraId="17284936" w14:textId="2F363A7F" w:rsidR="002304DC" w:rsidRPr="008B0270" w:rsidRDefault="00714B07" w:rsidP="008B0270">
      <w:pPr>
        <w:pStyle w:val="Duz1"/>
        <w:rPr>
          <w:rFonts w:ascii="Helvetica" w:hAnsi="Helvetica"/>
        </w:rPr>
      </w:pPr>
      <w:r w:rsidRPr="008B0270">
        <w:rPr>
          <w:rFonts w:ascii="Helvetica" w:hAnsi="Helvetica"/>
        </w:rPr>
        <w:t xml:space="preserve">4. Discussion </w:t>
      </w:r>
    </w:p>
    <w:p w14:paraId="6B12BCB7" w14:textId="79F9985F" w:rsidR="002304DC" w:rsidRPr="008B0270" w:rsidRDefault="002304DC" w:rsidP="008B0270">
      <w:pPr>
        <w:pStyle w:val="Duz2"/>
      </w:pPr>
      <w:r w:rsidRPr="008B0270">
        <w:t>4.1 The Breakdown of Model-Free Heuristics: Win-Stay/Loss-Shift Deficits</w:t>
      </w:r>
    </w:p>
    <w:p w14:paraId="70116EA4" w14:textId="77777777" w:rsidR="002304DC" w:rsidRPr="008B0270" w:rsidRDefault="002304DC" w:rsidP="00C830CD">
      <w:pPr>
        <w:rPr>
          <w:rFonts w:ascii="Helvetica" w:hAnsi="Helvetica"/>
          <w:sz w:val="20"/>
          <w:szCs w:val="20"/>
        </w:rPr>
      </w:pPr>
    </w:p>
    <w:p w14:paraId="7691B18B" w14:textId="25B5231D" w:rsidR="002304DC" w:rsidRPr="008B0270" w:rsidRDefault="002304DC" w:rsidP="00C830CD">
      <w:pPr>
        <w:rPr>
          <w:rFonts w:ascii="Helvetica" w:hAnsi="Helvetica"/>
          <w:sz w:val="20"/>
          <w:szCs w:val="20"/>
        </w:rPr>
      </w:pPr>
      <w:r w:rsidRPr="008B0270">
        <w:rPr>
          <w:rFonts w:ascii="Helvetica" w:hAnsi="Helvetica"/>
          <w:sz w:val="20"/>
          <w:szCs w:val="20"/>
        </w:rPr>
        <w:t xml:space="preserve">Before employing computational modelling, our analysis of model-free behavioral strategy revealed a fundamental impairment in how patients utilized social feedback. In adaptive learning environments, HC typically rely on a "Win-Stay/Loss-Shift" (WSLS) heuristic, repeating choices that yield positive outcomes and switching strategies when faced with negative outcomes. In contrast, SZ cohort exhibited a significant reduction in “Win-Stay” </w:t>
      </w:r>
      <w:r w:rsidR="005E438A" w:rsidRPr="008B0270">
        <w:rPr>
          <w:rFonts w:ascii="Helvetica" w:hAnsi="Helvetica"/>
          <w:sz w:val="20"/>
          <w:szCs w:val="20"/>
        </w:rPr>
        <w:t>behavior</w:t>
      </w:r>
      <w:r w:rsidRPr="008B0270">
        <w:rPr>
          <w:rFonts w:ascii="Helvetica" w:hAnsi="Helvetica"/>
          <w:sz w:val="20"/>
          <w:szCs w:val="20"/>
        </w:rPr>
        <w:t xml:space="preserve">, frequently failing to re-invest with the trustee even immediately following a mutually profitable, cooperative interaction. </w:t>
      </w:r>
      <w:r w:rsidR="005E438A" w:rsidRPr="008B0270">
        <w:rPr>
          <w:rFonts w:ascii="Helvetica" w:hAnsi="Helvetica"/>
          <w:sz w:val="20"/>
          <w:szCs w:val="20"/>
        </w:rPr>
        <w:t>This failure to capitalize on positive social reinforcement aligns with established literature characterizing schizophrenia by profound deficits in reward processing and value representation</w:t>
      </w:r>
      <w:r w:rsidR="005E438A" w:rsidRPr="008B0270">
        <w:rPr>
          <w:rFonts w:ascii="Helvetica" w:hAnsi="Helvetica"/>
          <w:sz w:val="20"/>
          <w:szCs w:val="20"/>
        </w:rPr>
        <w:fldChar w:fldCharType="begin"/>
      </w:r>
      <w:r w:rsidR="003D0D39">
        <w:rPr>
          <w:rFonts w:ascii="Helvetica" w:hAnsi="Helvetica"/>
          <w:sz w:val="20"/>
          <w:szCs w:val="20"/>
        </w:rPr>
        <w:instrText xml:space="preserve"> ADDIN ZOTERO_ITEM CSL_CITATION {"citationID":"Hyp8UjR6","properties":{"formattedCitation":"(20,33)","plainCitation":"(20,33)","noteIndex":0},"citationItems":[{"id":5481,"uris":["http://zotero.org/users/9264269/items/5A3ZTGED"],"itemData":{"id":5481,"type":"chapter","abstract":"Motivational deficits (avolition and anhedonia) have historically been considered important negative symptoms of schizophrenia. Numerous studies have attempted to identify the neural substrates of avolition and anhedonia in schizophrenia, but these studies have not produced much agreement. Deficits in various aspects of reinforcement processing have been observed in individuals with schizophrenia, but it is not exactly clear which of these deficits actually engender motivational impairments in SZ. The purpose of this chapter is to examine how various reinforcement-related behavioral and neural signals could contribute to motivational impairments in both schizophrenia, and psychiatric illness, in general. In particular, we describe different aspects of the concept of expected value (EV), such as the distinction between the EV of stimuli and the expected value of actions, the acquisition of value vs. the estimation of value, and the discounting of value as a consequence of time or effort required. We conclude that avolition and anhedonia in SZ are most commonly tied to aberrant signals for expected value, in the context of learning. We discuss implications for further research on the neural substrates of motivational impairments in psychiatric illness.","container-title":"Behavioral Neuroscience of Motivation","DOI":"10.1007/7854_2015_385","ISBN":"978-3-319-26933-7","language":"en","note":"collection-title: Current Topics in Behavioral Neurosciences","page":"375-410","publisher":"Springer International Publishing","publisher-place":"Cham","source":"DOI.org (Crossref)","title":"Motivational Deficits in Schizophrenia and the Representation of Expected Value","URL":"https://link.springer.com/10.1007/7854_2015_385","volume":"27","editor":[{"family":"Simpson","given":"Eleanor H."},{"family":"Balsam","given":"Peter D."}],"author":[{"family":"Waltz","given":"James A."},{"family":"Gold","given":"James M."}],"accessed":{"date-parts":[["2026",4,11]]},"issued":{"date-parts":[["2015"]]}}},{"id":5463,"uris":["http://zotero.org/users/9264269/items/EXINRS8Q"],"itemData":{"id":5463,"type":"article-journal","abstract":"Introduction\n              Psychotic-like experiences (PLEs) may occur due to changes in weighting prior beliefs and new evidence in the belief updating process. It is still unclear whether the acquisition or integration of stable beliefs is altered, and whether such alteration depends on the level of environmental and belief precision, which reflects the associated uncertainty. This motivated us to investigate uncertainty-related dynamics of belief updating in relation to PLEs using an online study design.\n            \n            \n              Methods\n              \n                We selected a sample (\n                n\n                = 300) of participants who performed a belief updating task with sudden change points and provided self-report questionnaires for PLEs. The task required participants to observe bags dropping from a hidden helicopter, infer its position, and dynamically update their belief about the helicopter's position. Participants could optimize performance by adjusting learning rates according to inferred belief uncertainty (inverse prior precision) and the probability of environmental change points. We used a normative learning model to examine the relationship between adherence to specific model parameters and PLEs.\n              \n            \n            \n              Results\n              \n                PLEs were linked to lower accuracy in tracking the outcome (helicopter location) (β = 0.26 ± 0.11,\n                p\n                = 0.018) and to a smaller increase of belief precision across observations after a change point (β = −0.003 ± 0.0007,\n                p\n                &amp;lt; 0.001). PLEs were related to slower belief updating when participants encountered large prediction errors (β = −0.03 ± 0.009,\n                p\n                = 0.001). Computational modeling suggested that PLEs were associated with reduced overall belief updating in response to prediction errors (β\n                \n                  PE\n                \n                = −1.00 ± 0.45,\n                p\n                = 0.028) and reduced modulation of updating at inferred environmental change points (β\n                \n                  CPP\n                \n                = −0.84 ± 0.38,\n                p\n                = 0.023).\n              \n            \n            \n              Discussion\n              We conclude that PLEs are associated with altered dynamics of belief updating. These findings support the idea that the process of balancing prior belief and new evidence, as a function of environmental uncertainty, is altered in PLEs, which may contribute to the development of delusions. Specifically, slower learning after large prediction errors in people with high PLEs may result in rigid beliefs. Disregarding environmental change points may limit the flexibility to establish new beliefs in the face of contradictory evidence. The present study fosters a deeper understanding of inferential belief updating mechanisms underlying PLEs.","container-title":"Frontiers in Psychiatry","DOI":"10.3389/fpsyt.2023.1170168","ISSN":"1664-0640","journalAbbreviation":"Front. Psychiatry","page":"1170168","source":"DOI.org (Crossref)","title":"Computational mechanisms of belief updating in relation to psychotic-like experiences","volume":"14","author":[{"family":"Fromm","given":"Sophie Pauline"},{"family":"Wieland","given":"Lara"},{"family":"Klettke","given":"Arne"},{"family":"Nassar","given":"Matthew R."},{"family":"Katthagen","given":"Teresa"},{"family":"Markett","given":"Sebastian"},{"family":"Heinz","given":"Andreas"},{"family":"Schlagenhauf","given":"Florian"}],"issued":{"date-parts":[["2023",5,5]]}}}],"schema":"https://github.com/citation-style-language/schema/raw/master/csl-citation.json"} </w:instrText>
      </w:r>
      <w:r w:rsidR="005E438A" w:rsidRPr="008B0270">
        <w:rPr>
          <w:rFonts w:ascii="Helvetica" w:hAnsi="Helvetica"/>
          <w:sz w:val="20"/>
          <w:szCs w:val="20"/>
        </w:rPr>
        <w:fldChar w:fldCharType="separate"/>
      </w:r>
      <w:r w:rsidR="003D0D39" w:rsidRPr="003D0D39">
        <w:rPr>
          <w:rFonts w:ascii="Helvetica" w:hAnsi="Helvetica"/>
          <w:sz w:val="20"/>
        </w:rPr>
        <w:t>(20,33)</w:t>
      </w:r>
      <w:r w:rsidR="005E438A" w:rsidRPr="008B0270">
        <w:rPr>
          <w:rFonts w:ascii="Helvetica" w:hAnsi="Helvetica"/>
          <w:sz w:val="20"/>
          <w:szCs w:val="20"/>
        </w:rPr>
        <w:fldChar w:fldCharType="end"/>
      </w:r>
      <w:r w:rsidR="005E438A" w:rsidRPr="008B0270">
        <w:rPr>
          <w:rFonts w:ascii="Helvetica" w:hAnsi="Helvetica"/>
          <w:sz w:val="20"/>
          <w:szCs w:val="20"/>
        </w:rPr>
        <w:t xml:space="preserve">. Rather than using the trustee's reciprocal behavior to build a stable model of interpersonal trust, the patients' trial-by-trial responses appeared disconnected from the immediate feedback history. </w:t>
      </w:r>
    </w:p>
    <w:p w14:paraId="5E2177D8" w14:textId="77777777" w:rsidR="005E438A" w:rsidRPr="008B0270" w:rsidRDefault="005E438A" w:rsidP="00C830CD">
      <w:pPr>
        <w:rPr>
          <w:rFonts w:ascii="Helvetica" w:hAnsi="Helvetica"/>
          <w:sz w:val="20"/>
          <w:szCs w:val="20"/>
        </w:rPr>
      </w:pPr>
    </w:p>
    <w:p w14:paraId="19AF1014" w14:textId="6721C99F" w:rsidR="005E438A" w:rsidRPr="008B0270" w:rsidRDefault="005E438A" w:rsidP="00C830CD">
      <w:pPr>
        <w:rPr>
          <w:rFonts w:ascii="Helvetica" w:hAnsi="Helvetica"/>
          <w:sz w:val="20"/>
          <w:szCs w:val="20"/>
        </w:rPr>
      </w:pPr>
      <w:r w:rsidRPr="008B0270">
        <w:rPr>
          <w:rFonts w:ascii="Helvetica" w:hAnsi="Helvetica"/>
          <w:sz w:val="20"/>
          <w:szCs w:val="20"/>
        </w:rPr>
        <w:t>While these model-free deficits clearly indicate a failure in adaptive social functioning, simple heuristics like WSLS cannot distinguish whether this failure stems from an inability to learn the value of the trustee (learning rate) or an inability to translate that learned value into consistent actions (decision noise). To isolate the precise mechanistic locus of this behavioral breakdown, we turned to computational reinforcement learning models.</w:t>
      </w:r>
    </w:p>
    <w:p w14:paraId="70FB7ADE" w14:textId="77777777" w:rsidR="005E438A" w:rsidRPr="008B0270" w:rsidRDefault="005E438A" w:rsidP="00C830CD">
      <w:pPr>
        <w:rPr>
          <w:rFonts w:ascii="Helvetica" w:hAnsi="Helvetica"/>
          <w:sz w:val="20"/>
          <w:szCs w:val="20"/>
        </w:rPr>
      </w:pPr>
    </w:p>
    <w:p w14:paraId="3CC16491" w14:textId="6152A358" w:rsidR="005E438A" w:rsidRPr="008B0270" w:rsidRDefault="005E438A" w:rsidP="008B0270">
      <w:pPr>
        <w:pStyle w:val="Duz2"/>
      </w:pPr>
      <w:r w:rsidRPr="008B0270">
        <w:lastRenderedPageBreak/>
        <w:t>4.2 Behavioral Imprecision and Inconsistent Preferences</w:t>
      </w:r>
    </w:p>
    <w:p w14:paraId="05B79CFA" w14:textId="3880C8EE" w:rsidR="00501115" w:rsidRPr="008B0270" w:rsidRDefault="00501115" w:rsidP="00C830CD">
      <w:pPr>
        <w:rPr>
          <w:rFonts w:ascii="Helvetica" w:hAnsi="Helvetica"/>
          <w:sz w:val="20"/>
          <w:szCs w:val="20"/>
        </w:rPr>
      </w:pPr>
      <w:r w:rsidRPr="008B0270">
        <w:rPr>
          <w:rFonts w:ascii="Helvetica" w:hAnsi="Helvetica"/>
          <w:sz w:val="20"/>
          <w:szCs w:val="20"/>
        </w:rPr>
        <w:t>Behaviorally, computational modeling revealed that standard reinforcement learning mechanisms poorly described patient choices, as indexed by severely reduced Pseudo-R</w:t>
      </w:r>
      <w:r w:rsidRPr="008B0270">
        <w:rPr>
          <w:rFonts w:ascii="Helvetica" w:hAnsi="Helvetica"/>
          <w:sz w:val="20"/>
          <w:szCs w:val="20"/>
          <w:vertAlign w:val="superscript"/>
        </w:rPr>
        <w:t>2</w:t>
      </w:r>
      <w:r w:rsidRPr="008B0270">
        <w:rPr>
          <w:rFonts w:ascii="Helvetica" w:hAnsi="Helvetica"/>
          <w:sz w:val="20"/>
          <w:szCs w:val="20"/>
        </w:rPr>
        <w:t xml:space="preserve"> and blunted learning rates (</w:t>
      </w:r>
      <m:oMath>
        <m:r>
          <w:rPr>
            <w:rFonts w:ascii="Cambria Math" w:hAnsi="Cambria Math"/>
            <w:sz w:val="20"/>
            <w:szCs w:val="20"/>
          </w:rPr>
          <m:t>α</m:t>
        </m:r>
      </m:oMath>
      <w:r w:rsidRPr="008B0270">
        <w:rPr>
          <w:rFonts w:ascii="Helvetica" w:hAnsi="Helvetica"/>
          <w:sz w:val="20"/>
          <w:szCs w:val="20"/>
        </w:rPr>
        <w:t xml:space="preserve">). </w:t>
      </w:r>
      <w:r w:rsidR="00DA10D6" w:rsidRPr="008B0270">
        <w:rPr>
          <w:rFonts w:ascii="Helvetica" w:hAnsi="Helvetica"/>
          <w:sz w:val="20"/>
          <w:szCs w:val="20"/>
        </w:rPr>
        <w:t xml:space="preserve">Strikingly, a zero-parameter null model provided a superior fit for most patients, indicating a profound failure to integrate social feedback into future decisions. </w:t>
      </w:r>
      <w:r w:rsidRPr="008B0270">
        <w:rPr>
          <w:rFonts w:ascii="Helvetica" w:hAnsi="Helvetica"/>
          <w:sz w:val="20"/>
          <w:szCs w:val="20"/>
        </w:rPr>
        <w:t xml:space="preserve">Rather than dynamically updating the expected value of the trustee based on trial-by-trial feedback, patient decision-making was highly stochastic. This aligns closely with work by Strauss et al., who demonstrated that patients with schizophrenia exhibit fundamentally inconsistent preference judgments, struggling to differentiate the relative value of affective stimuli </w:t>
      </w:r>
      <w:r w:rsidRPr="008B0270">
        <w:rPr>
          <w:rFonts w:ascii="Helvetica" w:hAnsi="Helvetica"/>
          <w:sz w:val="20"/>
          <w:szCs w:val="20"/>
        </w:rPr>
        <w:fldChar w:fldCharType="begin"/>
      </w:r>
      <w:r w:rsidR="00546A47" w:rsidRPr="008B0270">
        <w:rPr>
          <w:rFonts w:ascii="Helvetica" w:hAnsi="Helvetica"/>
          <w:sz w:val="20"/>
          <w:szCs w:val="20"/>
        </w:rPr>
        <w:instrText xml:space="preserve"> ADDIN ZOTERO_ITEM CSL_CITATION {"citationID":"gnIvOYPq","properties":{"formattedCitation":"(34)","plainCitation":"(34)","noteIndex":0},"citationItems":[{"id":5480,"uris":["http://zotero.org/users/9264269/items/G4F3SZ3P"],"itemData":{"id":5480,"type":"article-journal","container-title":"Schizophrenia Bulletin","DOI":"10.1093/schbul/sbq047","ISSN":"0586-7614, 1745-1701","issue":"6","journalAbbreviation":"Schizophrenia Bulletin","language":"en","page":"1295-1304","source":"DOI.org (Crossref)","title":"Patients With Schizophrenia Demonstrate Inconsistent Preference Judgments for Affective and Nonaffective Stimuli","volume":"37","author":[{"family":"Strauss","given":"G. P."},{"family":"Robinson","given":"B. M."},{"family":"Waltz","given":"J. A."},{"family":"Frank","given":"M. J."},{"family":"Kasanova","given":"Z."},{"family":"Herbener","given":"E. S."},{"family":"Gold","given":"J. M."}],"issued":{"date-parts":[["2011",11,1]]}}}],"schema":"https://github.com/citation-style-language/schema/raw/master/csl-citation.json"} </w:instrText>
      </w:r>
      <w:r w:rsidRPr="008B0270">
        <w:rPr>
          <w:rFonts w:ascii="Helvetica" w:hAnsi="Helvetica"/>
          <w:sz w:val="20"/>
          <w:szCs w:val="20"/>
        </w:rPr>
        <w:fldChar w:fldCharType="separate"/>
      </w:r>
      <w:r w:rsidR="00546A47" w:rsidRPr="008B0270">
        <w:rPr>
          <w:rFonts w:ascii="Helvetica" w:hAnsi="Helvetica"/>
          <w:sz w:val="20"/>
          <w:szCs w:val="20"/>
        </w:rPr>
        <w:t>(34)</w:t>
      </w:r>
      <w:r w:rsidRPr="008B0270">
        <w:rPr>
          <w:rFonts w:ascii="Helvetica" w:hAnsi="Helvetica"/>
          <w:sz w:val="20"/>
          <w:szCs w:val="20"/>
        </w:rPr>
        <w:fldChar w:fldCharType="end"/>
      </w:r>
      <w:r w:rsidRPr="008B0270">
        <w:rPr>
          <w:rFonts w:ascii="Helvetica" w:hAnsi="Helvetica"/>
          <w:sz w:val="20"/>
          <w:szCs w:val="20"/>
        </w:rPr>
        <w:t>. Furthermore, recent evidence by Lechner et al. (2025) posits that "imprecision" represents a core pathophysiological mechanism of schizophrenia, extending down to fundamental temporal processing in the millisecond range</w:t>
      </w:r>
      <w:r w:rsidRPr="008B0270">
        <w:rPr>
          <w:rFonts w:ascii="Helvetica" w:hAnsi="Helvetica"/>
          <w:sz w:val="20"/>
          <w:szCs w:val="20"/>
        </w:rPr>
        <w:fldChar w:fldCharType="begin"/>
      </w:r>
      <w:r w:rsidR="00546A47" w:rsidRPr="008B0270">
        <w:rPr>
          <w:rFonts w:ascii="Helvetica" w:hAnsi="Helvetica"/>
          <w:sz w:val="20"/>
          <w:szCs w:val="20"/>
        </w:rPr>
        <w:instrText xml:space="preserve"> ADDIN ZOTERO_ITEM CSL_CITATION {"citationID":"9KhITgQp","properties":{"formattedCitation":"(35)","plainCitation":"(35)","noteIndex":0},"citationItems":[{"id":5146,"uris":["http://zotero.org/users/9264269/items/X5BTZSH2"],"itemData":{"id":5146,"type":"article-journal","container-title":"Translational Psychiatry","DOI":"10.1038/s41398-025-03510-4","ISSN":"2158-3188","issue":"1","journalAbbreviation":"Transl Psychiatry","language":"en","page":"279","source":"DOI.org (Crossref)","title":"Temporal imprecision and its dynamics in schizophrenia","volume":"15","author":[{"family":"Lechner","given":"Stephan"},{"family":"Hsieh","given":"Ming H."},{"family":"Lin","given":"Yi-Ting"},{"family":"Liu","given":"Chih-Min"},{"family":"Chen","given":"I-Fei"},{"family":"Liu","given":"Chen-Chung"},{"family":"Chien","given":"Yi-Ling"},{"family":"Hwang","given":"Tzung-Jeng"},{"family":"Hwu","given":"Hai-Gwo"},{"family":"Northoff","given":"Georg"}],"issued":{"date-parts":[["2025",8,13]]}}}],"schema":"https://github.com/citation-style-language/schema/raw/master/csl-citation.json"} </w:instrText>
      </w:r>
      <w:r w:rsidRPr="008B0270">
        <w:rPr>
          <w:rFonts w:ascii="Helvetica" w:hAnsi="Helvetica"/>
          <w:sz w:val="20"/>
          <w:szCs w:val="20"/>
        </w:rPr>
        <w:fldChar w:fldCharType="separate"/>
      </w:r>
      <w:r w:rsidR="00546A47" w:rsidRPr="008B0270">
        <w:rPr>
          <w:rFonts w:ascii="Helvetica" w:hAnsi="Helvetica"/>
          <w:sz w:val="20"/>
          <w:szCs w:val="20"/>
        </w:rPr>
        <w:t>(35)</w:t>
      </w:r>
      <w:r w:rsidRPr="008B0270">
        <w:rPr>
          <w:rFonts w:ascii="Helvetica" w:hAnsi="Helvetica"/>
          <w:sz w:val="20"/>
          <w:szCs w:val="20"/>
        </w:rPr>
        <w:fldChar w:fldCharType="end"/>
      </w:r>
      <w:r w:rsidRPr="008B0270">
        <w:rPr>
          <w:rFonts w:ascii="Helvetica" w:hAnsi="Helvetica"/>
          <w:sz w:val="20"/>
          <w:szCs w:val="20"/>
        </w:rPr>
        <w:t>. In the context of our Trust Game, the profound reduction in inverse temperature (</w:t>
      </w:r>
      <m:oMath>
        <m:r>
          <w:rPr>
            <w:rFonts w:ascii="Cambria Math" w:hAnsi="Cambria Math"/>
            <w:sz w:val="20"/>
            <w:szCs w:val="20"/>
          </w:rPr>
          <m:t>β</m:t>
        </m:r>
      </m:oMath>
      <w:r w:rsidRPr="008B0270">
        <w:rPr>
          <w:rFonts w:ascii="Helvetica" w:hAnsi="Helvetica"/>
          <w:sz w:val="20"/>
          <w:szCs w:val="20"/>
        </w:rPr>
        <w:t>), our computational parameter for choice precision, suggests that this systemic imprecision also severely disrupts higher-order social valuation, rendering patients incapable of utilizing positive social feedback to guide consistent future behavior.</w:t>
      </w:r>
    </w:p>
    <w:p w14:paraId="5EB7A9B6" w14:textId="77777777" w:rsidR="00501115" w:rsidRPr="008B0270" w:rsidRDefault="00501115" w:rsidP="00C830CD">
      <w:pPr>
        <w:rPr>
          <w:rFonts w:ascii="Helvetica" w:hAnsi="Helvetica"/>
          <w:sz w:val="20"/>
          <w:szCs w:val="20"/>
        </w:rPr>
      </w:pPr>
    </w:p>
    <w:p w14:paraId="7A90FA16" w14:textId="7D3852E7" w:rsidR="00501115" w:rsidRPr="008B0270" w:rsidRDefault="00501115" w:rsidP="008B0270">
      <w:pPr>
        <w:pStyle w:val="Duz2"/>
      </w:pPr>
      <w:r w:rsidRPr="008B0270">
        <w:t>4.3 Failure to Adapt to Social Volatility: Blunted Prediction Errors</w:t>
      </w:r>
    </w:p>
    <w:p w14:paraId="21A371B1" w14:textId="77777777" w:rsidR="00501115" w:rsidRPr="008B0270" w:rsidRDefault="00501115" w:rsidP="00C830CD">
      <w:pPr>
        <w:rPr>
          <w:rFonts w:ascii="Helvetica" w:hAnsi="Helvetica"/>
          <w:sz w:val="20"/>
          <w:szCs w:val="20"/>
        </w:rPr>
      </w:pPr>
    </w:p>
    <w:p w14:paraId="31BD22A2" w14:textId="34BCF93D" w:rsidR="00501115" w:rsidRPr="008B0270" w:rsidRDefault="00501115" w:rsidP="00C830CD">
      <w:pPr>
        <w:rPr>
          <w:rFonts w:ascii="Helvetica" w:hAnsi="Helvetica"/>
          <w:sz w:val="20"/>
          <w:szCs w:val="20"/>
        </w:rPr>
      </w:pPr>
      <w:r w:rsidRPr="008B0270">
        <w:rPr>
          <w:rFonts w:ascii="Helvetica" w:hAnsi="Helvetica"/>
          <w:sz w:val="20"/>
          <w:szCs w:val="20"/>
        </w:rPr>
        <w:t>To further elucidate the temporal dynamics of this learning failure, we analyzed the magnitude of absolute prediction errors (</w:t>
      </w:r>
      <m:oMath>
        <m:d>
          <m:dPr>
            <m:begChr m:val="|"/>
            <m:endChr m:val="|"/>
            <m:ctrlPr>
              <w:rPr>
                <w:rFonts w:ascii="Cambria Math" w:hAnsi="Cambria Math"/>
                <w:sz w:val="20"/>
                <w:szCs w:val="20"/>
              </w:rPr>
            </m:ctrlPr>
          </m:dPr>
          <m:e>
            <m:r>
              <w:rPr>
                <w:rFonts w:ascii="Cambria Math" w:hAnsi="Cambria Math"/>
                <w:sz w:val="20"/>
                <w:szCs w:val="20"/>
              </w:rPr>
              <m:t>PE</m:t>
            </m:r>
          </m:e>
        </m:d>
      </m:oMath>
      <w:r w:rsidRPr="008B0270">
        <w:rPr>
          <w:rFonts w:ascii="Helvetica" w:hAnsi="Helvetica"/>
          <w:sz w:val="20"/>
          <w:szCs w:val="20"/>
        </w:rPr>
        <w:t>) across the different phases of the Trust Game. In healthy environments, prediction errors should scale with environmental uncertainty; when social contingencies suddenly change, a healthy learning system generates large prediction errors to rapidly update internal models</w:t>
      </w:r>
      <w:r w:rsidR="00944E38" w:rsidRPr="008B0270">
        <w:rPr>
          <w:rFonts w:ascii="Helvetica" w:hAnsi="Helvetica"/>
          <w:sz w:val="20"/>
          <w:szCs w:val="20"/>
        </w:rPr>
        <w:t xml:space="preserve"> </w:t>
      </w:r>
      <w:r w:rsidR="00944E38" w:rsidRPr="008B0270">
        <w:rPr>
          <w:rFonts w:ascii="Helvetica" w:hAnsi="Helvetica"/>
          <w:sz w:val="20"/>
          <w:szCs w:val="20"/>
        </w:rPr>
        <w:fldChar w:fldCharType="begin"/>
      </w:r>
      <w:r w:rsidR="003D0D39">
        <w:rPr>
          <w:rFonts w:ascii="Helvetica" w:hAnsi="Helvetica"/>
          <w:sz w:val="20"/>
          <w:szCs w:val="20"/>
        </w:rPr>
        <w:instrText xml:space="preserve"> ADDIN ZOTERO_ITEM CSL_CITATION {"citationID":"9GzYUx5R","properties":{"formattedCitation":"(16)","plainCitation":"(16)","noteIndex":0},"citationItems":[{"id":392,"uris":["http://zotero.org/users/9264269/items/62HXSG2Y"],"itemData":{"id":392,"type":"article-journal","abstract":"Social learning is fundamental to human interactions, yet its computational and physiological mechanisms are not well understood. One prominent open question concerns the role of neuromodulatory transmitters. We combined fMRI, computational modelling and genetics to address this question in two separate samples (N1/435, N1/447). Participants played a game requiring inference on an adviser's intentions whose motivation to help or mislead changed over time. Our analyses suggest that hierarchically structured belief updates about current advice validity and the adviser's trustworthiness, respectively, depend on different neuromodulatory systems. Low-level prediction errors (PEs) about advice accuracy not only activated regions known to support 'theory of mind', but also the dopaminergic midbrain. Furthermore, PE responses in ventral striatum were influenced by the Met/Val polymorphismof the Catechol-O-Methyltransferase (COMT) gene. By contrast, high-level PEs ('expected uncertainty') about the adviser's fidelity activated the cholinergic septum. These findings, replicated in both samples, have important implications: They suggest that social learning rests on hierarchically related PEs encoded by midbrain and septum activity, respectively, in the same manner as other forms of learning under volatility. Furthermore, these hierarchical PEs may be broadcast by dopaminergic and cholinergic projections to induce plasticity specifically in cortical areas known to represent beliefs about others.","container-title":"Social Cognitive and Affective Neuroscience","DOI":"10.1093/scan/nsw171","ISSN":"17495024","issue":"4","page":"618–634","PMID":"28119508","title":"Hierarchical prediction errors in midbrain and septum during social learning","volume":"12","author":[{"family":"Diaconescu","given":"Andreea O."},{"family":"Mathys","given":"Christoph"},{"family":"Weber","given":"Lilian A.E."},{"family":"Kasper","given":"Lars"},{"family":"Mauer","given":"Jan"},{"family":"Stephan","given":"Klaas E."}],"issued":{"date-parts":[["2017"]]}}}],"schema":"https://github.com/citation-style-language/schema/raw/master/csl-citation.json"} </w:instrText>
      </w:r>
      <w:r w:rsidR="00944E38" w:rsidRPr="008B0270">
        <w:rPr>
          <w:rFonts w:ascii="Helvetica" w:hAnsi="Helvetica"/>
          <w:sz w:val="20"/>
          <w:szCs w:val="20"/>
        </w:rPr>
        <w:fldChar w:fldCharType="separate"/>
      </w:r>
      <w:r w:rsidR="003D0D39" w:rsidRPr="003D0D39">
        <w:rPr>
          <w:rFonts w:ascii="Helvetica" w:hAnsi="Helvetica"/>
          <w:sz w:val="20"/>
        </w:rPr>
        <w:t>(16)</w:t>
      </w:r>
      <w:r w:rsidR="00944E38" w:rsidRPr="008B0270">
        <w:rPr>
          <w:rFonts w:ascii="Helvetica" w:hAnsi="Helvetica"/>
          <w:sz w:val="20"/>
          <w:szCs w:val="20"/>
        </w:rPr>
        <w:fldChar w:fldCharType="end"/>
      </w:r>
      <w:r w:rsidRPr="008B0270">
        <w:rPr>
          <w:rFonts w:ascii="Helvetica" w:hAnsi="Helvetica"/>
          <w:sz w:val="20"/>
          <w:szCs w:val="20"/>
        </w:rPr>
        <w:t xml:space="preserve">. Our Linear Mixed-Effects Model confirmed this normative pattern in the </w:t>
      </w:r>
      <w:r w:rsidR="00944E38" w:rsidRPr="008B0270">
        <w:rPr>
          <w:rFonts w:ascii="Helvetica" w:hAnsi="Helvetica"/>
          <w:sz w:val="20"/>
          <w:szCs w:val="20"/>
        </w:rPr>
        <w:t>HC</w:t>
      </w:r>
      <w:r w:rsidRPr="008B0270">
        <w:rPr>
          <w:rFonts w:ascii="Helvetica" w:hAnsi="Helvetica"/>
          <w:sz w:val="20"/>
          <w:szCs w:val="20"/>
        </w:rPr>
        <w:t xml:space="preserve">, who exhibited a significant increase in </w:t>
      </w:r>
      <m:oMath>
        <m:d>
          <m:dPr>
            <m:begChr m:val="|"/>
            <m:endChr m:val="|"/>
            <m:ctrlPr>
              <w:rPr>
                <w:rFonts w:ascii="Cambria Math" w:hAnsi="Cambria Math"/>
                <w:sz w:val="20"/>
                <w:szCs w:val="20"/>
              </w:rPr>
            </m:ctrlPr>
          </m:dPr>
          <m:e>
            <m:r>
              <w:rPr>
                <w:rFonts w:ascii="Cambria Math" w:hAnsi="Cambria Math"/>
                <w:sz w:val="20"/>
                <w:szCs w:val="20"/>
              </w:rPr>
              <m:t>PE</m:t>
            </m:r>
          </m:e>
        </m:d>
        <m:r>
          <m:rPr>
            <m:sty m:val="p"/>
          </m:rPr>
          <w:rPr>
            <w:rFonts w:ascii="Cambria Math" w:hAnsi="Cambria Math"/>
            <w:sz w:val="20"/>
            <w:szCs w:val="20"/>
          </w:rPr>
          <m:t xml:space="preserve"> </m:t>
        </m:r>
      </m:oMath>
      <w:r w:rsidRPr="008B0270">
        <w:rPr>
          <w:rFonts w:ascii="Helvetica" w:hAnsi="Helvetica"/>
          <w:sz w:val="20"/>
          <w:szCs w:val="20"/>
        </w:rPr>
        <w:t>magnitude precisely during the volatile, 50% reward-rate phase of the task. They successfully recognized that the trustee's behavior had changed and generated the appropriate computational "surprise" signals to drive behavioral adaptation.</w:t>
      </w:r>
    </w:p>
    <w:p w14:paraId="69B0F58A" w14:textId="77777777" w:rsidR="00944E38" w:rsidRPr="008B0270" w:rsidRDefault="00944E38" w:rsidP="00C830CD">
      <w:pPr>
        <w:rPr>
          <w:rFonts w:ascii="Helvetica" w:hAnsi="Helvetica"/>
          <w:sz w:val="20"/>
          <w:szCs w:val="20"/>
        </w:rPr>
      </w:pPr>
    </w:p>
    <w:p w14:paraId="60A8172C" w14:textId="0E7531D2" w:rsidR="00944E38" w:rsidRPr="008B0270" w:rsidRDefault="00944E38" w:rsidP="00C830CD">
      <w:pPr>
        <w:rPr>
          <w:rFonts w:ascii="Helvetica" w:hAnsi="Helvetica"/>
          <w:sz w:val="20"/>
          <w:szCs w:val="20"/>
        </w:rPr>
      </w:pPr>
      <w:r w:rsidRPr="008B0270">
        <w:rPr>
          <w:rFonts w:ascii="Helvetica" w:hAnsi="Helvetica"/>
          <w:sz w:val="20"/>
          <w:szCs w:val="20"/>
        </w:rPr>
        <w:t xml:space="preserve">In contrast, the SZ demonstrated a significantly blunted </w:t>
      </w:r>
      <m:oMath>
        <m:d>
          <m:dPr>
            <m:begChr m:val="|"/>
            <m:endChr m:val="|"/>
            <m:ctrlPr>
              <w:rPr>
                <w:rFonts w:ascii="Cambria Math" w:hAnsi="Cambria Math"/>
                <w:sz w:val="20"/>
                <w:szCs w:val="20"/>
              </w:rPr>
            </m:ctrlPr>
          </m:dPr>
          <m:e>
            <m:r>
              <w:rPr>
                <w:rFonts w:ascii="Cambria Math" w:hAnsi="Cambria Math"/>
                <w:sz w:val="20"/>
                <w:szCs w:val="20"/>
              </w:rPr>
              <m:t>PE</m:t>
            </m:r>
          </m:e>
        </m:d>
      </m:oMath>
      <w:r w:rsidR="003C5391" w:rsidRPr="008B0270">
        <w:rPr>
          <w:rFonts w:ascii="Helvetica" w:hAnsi="Helvetica"/>
          <w:sz w:val="20"/>
          <w:szCs w:val="20"/>
        </w:rPr>
        <w:t xml:space="preserve"> </w:t>
      </w:r>
      <w:r w:rsidRPr="008B0270">
        <w:rPr>
          <w:rFonts w:ascii="Helvetica" w:hAnsi="Helvetica"/>
          <w:sz w:val="20"/>
          <w:szCs w:val="20"/>
        </w:rPr>
        <w:t xml:space="preserve">response during this exact same volatile phase. Rather than scaling their prediction errors to match the sudden unpredictability of their social partner, the patients' computational surprise remained attenuated. This </w:t>
      </w:r>
      <m:oMath>
        <m:r>
          <w:rPr>
            <w:rFonts w:ascii="Cambria Math" w:hAnsi="Cambria Math"/>
            <w:sz w:val="20"/>
            <w:szCs w:val="20"/>
          </w:rPr>
          <m:t>Group</m:t>
        </m:r>
        <m:r>
          <m:rPr>
            <m:sty m:val="p"/>
          </m:rPr>
          <w:rPr>
            <w:rFonts w:ascii="Cambria Math" w:hAnsi="Cambria Math"/>
            <w:sz w:val="20"/>
            <w:szCs w:val="20"/>
          </w:rPr>
          <m:t xml:space="preserve"> × </m:t>
        </m:r>
        <m:r>
          <w:rPr>
            <w:rFonts w:ascii="Cambria Math" w:hAnsi="Cambria Math"/>
            <w:sz w:val="20"/>
            <w:szCs w:val="20"/>
          </w:rPr>
          <m:t>Block</m:t>
        </m:r>
      </m:oMath>
      <w:r w:rsidRPr="008B0270">
        <w:rPr>
          <w:rFonts w:ascii="Helvetica" w:hAnsi="Helvetica"/>
          <w:sz w:val="20"/>
          <w:szCs w:val="20"/>
        </w:rPr>
        <w:t xml:space="preserve"> interaction highlights a profound deficit in higher-order social inference. As outlined by the prediction-error hypothesis of schizophrenia</w:t>
      </w:r>
      <w:r w:rsidRPr="008B0270">
        <w:rPr>
          <w:rFonts w:ascii="Helvetica" w:hAnsi="Helvetica"/>
          <w:sz w:val="20"/>
          <w:szCs w:val="20"/>
        </w:rPr>
        <w:fldChar w:fldCharType="begin"/>
      </w:r>
      <w:r w:rsidR="003D0D39">
        <w:rPr>
          <w:rFonts w:ascii="Helvetica" w:hAnsi="Helvetica"/>
          <w:sz w:val="20"/>
          <w:szCs w:val="20"/>
        </w:rPr>
        <w:instrText xml:space="preserve"> ADDIN ZOTERO_ITEM CSL_CITATION {"citationID":"1Nm1WRDX","properties":{"formattedCitation":"(14,36)","plainCitation":"(14,36)","noteIndex":0},"citationItems":[{"id":4775,"uris":["http://zotero.org/users/9264269/items/S59JGGFR"],"itemData":{"id":4775,"type":"article-journal","container-title":"Human Brain Mapping","DOI":"10.1002/hbm.25453","ISSN":"1065-9471, 1097-0193","issue":"11","journalAbbreviation":"Hum Brain Mapp","language":"en","note":"number: 11","page":"3547-3560","source":"DOI.org (Crossref)","title":"Abnormal prediction error processing in schizophrenia and depression","volume":"42","author":[{"family":"Yaple","given":"Zachary Adam"},{"family":"Tolomeo","given":"Serenella"},{"family":"Yu","given":"Rongjun"}],"issued":{"date-parts":[["2021",8]]}}},{"id":4776,"uris":["http://zotero.org/users/9264269/items/2MF4KWPP"],"itemData":{"id":4776,"type":"article-journal","abstract":"Abstract\n            Schizophrenia is a severe psychiatric disorder affecting 21 million people worldwide. People with schizophrenia suffer from symptoms including psychosis and delusions, apathy, anhedonia, and cognitive deficits. Strikingly, schizophrenia is characterised by a learning paradox involving difficulties learning from rewarding events, whilst simultaneously ‘overlearning’ about irrelevant or neutral information. While dysfunction in dopaminergic signalling has long been linked to the pathophysiology of schizophrenia, a cohesive framework that accounts for this learning paradox remains elusive. Recently, there has been an explosion of new research investigating how dopamine contributes to reinforcement learning, which illustrates that midbrain dopamine contributes in complex ways to reinforcement learning, not previously envisioned. This new data brings new possibilities for how dopamine signalling contributes to the symptomatology of schizophrenia. Building on recent work, we present a new neural framework for how we might envision specific dopamine circuits contributing to this learning paradox in schizophrenia in the context of models of reinforcement learning. Further, we discuss avenues of preclinical research with the use of cutting-edge neuroscience techniques where aspects of this model may be tested. Ultimately, it is hoped that this review will spur to action more research utilising specific reinforcement learning paradigms in preclinical models of schizophrenia, to reconcile seemingly disparate symptomatology and develop more efficient therapeutics.","container-title":"Neuropsychopharmacology","DOI":"10.1038/s41386-021-01188-y","ISSN":"0893-133X, 1740-634X","issue":"3","journalAbbreviation":"Neuropsychopharmacol.","language":"en","note":"number: 3","page":"628-640","source":"DOI.org (Crossref)","title":"The prediction-error hypothesis of schizophrenia: new data point to circuit-specific changes in dopamine activity","title-short":"The prediction-error hypothesis of schizophrenia","volume":"47","author":[{"family":"Millard","given":"Samuel J."},{"family":"Bearden","given":"Carrie E."},{"family":"Karlsgodt","given":"Katherine H."},{"family":"Sharpe","given":"Melissa J."}],"issued":{"date-parts":[["2022",2]]}}}],"schema":"https://github.com/citation-style-language/schema/raw/master/csl-citation.json"} </w:instrText>
      </w:r>
      <w:r w:rsidRPr="008B0270">
        <w:rPr>
          <w:rFonts w:ascii="Helvetica" w:hAnsi="Helvetica"/>
          <w:sz w:val="20"/>
          <w:szCs w:val="20"/>
        </w:rPr>
        <w:fldChar w:fldCharType="separate"/>
      </w:r>
      <w:r w:rsidR="003D0D39" w:rsidRPr="003D0D39">
        <w:rPr>
          <w:rFonts w:ascii="Helvetica" w:hAnsi="Helvetica"/>
          <w:sz w:val="20"/>
        </w:rPr>
        <w:t>(14,36)</w:t>
      </w:r>
      <w:r w:rsidRPr="008B0270">
        <w:rPr>
          <w:rFonts w:ascii="Helvetica" w:hAnsi="Helvetica"/>
          <w:sz w:val="20"/>
          <w:szCs w:val="20"/>
        </w:rPr>
        <w:fldChar w:fldCharType="end"/>
      </w:r>
      <w:r w:rsidRPr="008B0270">
        <w:rPr>
          <w:rFonts w:ascii="Helvetica" w:hAnsi="Helvetica"/>
          <w:sz w:val="20"/>
          <w:szCs w:val="20"/>
        </w:rPr>
        <w:t>, dysfunction in the dopaminergic system compromises the brain's ability to reliably signal discrepancies between expected and actual rewards. In our paradigm, this dopaminergic/computational blunting means that patients were fundamentally unaware of the shifting social dynamics. Because their learning system failed to generate the necessary trial-by-trial surprise when the trustee's behavior changed, they were left unable to flexibly adapt their investment strategies, resulting in the rigid, stochastic behavioral profile captured by our model-free and model-based metrics above</w:t>
      </w:r>
      <w:r w:rsidR="007B7348" w:rsidRPr="008B0270">
        <w:rPr>
          <w:rFonts w:ascii="Helvetica" w:hAnsi="Helvetica"/>
          <w:sz w:val="20"/>
          <w:szCs w:val="20"/>
        </w:rPr>
        <w:fldChar w:fldCharType="begin"/>
      </w:r>
      <w:r w:rsidR="00546A47" w:rsidRPr="008B0270">
        <w:rPr>
          <w:rFonts w:ascii="Helvetica" w:hAnsi="Helvetica"/>
          <w:sz w:val="20"/>
          <w:szCs w:val="20"/>
        </w:rPr>
        <w:instrText xml:space="preserve"> ADDIN ZOTERO_ITEM CSL_CITATION {"citationID":"dfWJ6OIw","properties":{"formattedCitation":"(37)","plainCitation":"(37)","noteIndex":0},"citationItems":[{"id":5462,"uris":["http://zotero.org/users/9264269/items/SSIRE9KF"],"itemData":{"id":5462,"type":"article-journal","container-title":"Computational Psychiatry","DOI":"10.5334/cpsy.95","ISSN":"2379-6227","issue":"1","language":"en","license":"https://creativecommons.org/licenses/by/4.0","page":"1-22","source":"DOI.org (Crossref)","title":"Altered Perception of Environmental Volatility During Social Learning in Emerging Psychosis","volume":"8","author":[{"family":"Hauke","given":"Daniel J."},{"family":"Wobmann","given":"Michelle"},{"family":"Andreou","given":"Christina"},{"family":"Mackintosh","given":"Amatya J."},{"family":"De Bock","given":"Renate"},{"family":"Karvelis","given":"Povilas"},{"family":"Adams","given":"Rick A."},{"family":"Sterzer","given":"Philipp"},{"family":"Borgwardt","given":"Stefan"},{"family":"Roth","given":"Volker"},{"family":"Diaconescu","given":"Andreea O."}],"issued":{"date-parts":[["2024",2,7]]}}}],"schema":"https://github.com/citation-style-language/schema/raw/master/csl-citation.json"} </w:instrText>
      </w:r>
      <w:r w:rsidR="007B7348" w:rsidRPr="008B0270">
        <w:rPr>
          <w:rFonts w:ascii="Helvetica" w:hAnsi="Helvetica"/>
          <w:sz w:val="20"/>
          <w:szCs w:val="20"/>
        </w:rPr>
        <w:fldChar w:fldCharType="separate"/>
      </w:r>
      <w:r w:rsidR="00546A47" w:rsidRPr="008B0270">
        <w:rPr>
          <w:rFonts w:ascii="Helvetica" w:hAnsi="Helvetica"/>
          <w:sz w:val="20"/>
          <w:szCs w:val="20"/>
        </w:rPr>
        <w:t>(37)</w:t>
      </w:r>
      <w:r w:rsidR="007B7348" w:rsidRPr="008B0270">
        <w:rPr>
          <w:rFonts w:ascii="Helvetica" w:hAnsi="Helvetica"/>
          <w:sz w:val="20"/>
          <w:szCs w:val="20"/>
        </w:rPr>
        <w:fldChar w:fldCharType="end"/>
      </w:r>
      <w:r w:rsidRPr="008B0270">
        <w:rPr>
          <w:rFonts w:ascii="Helvetica" w:hAnsi="Helvetica"/>
          <w:sz w:val="20"/>
          <w:szCs w:val="20"/>
        </w:rPr>
        <w:t>.</w:t>
      </w:r>
    </w:p>
    <w:p w14:paraId="1F74CBF2" w14:textId="77777777" w:rsidR="00501115" w:rsidRPr="008B0270" w:rsidRDefault="00501115" w:rsidP="00C830CD">
      <w:pPr>
        <w:rPr>
          <w:rFonts w:ascii="Helvetica" w:hAnsi="Helvetica"/>
          <w:sz w:val="20"/>
          <w:szCs w:val="20"/>
        </w:rPr>
      </w:pPr>
    </w:p>
    <w:p w14:paraId="52575456" w14:textId="36CB416D" w:rsidR="00501115" w:rsidRPr="008B0270" w:rsidRDefault="00501115" w:rsidP="008B0270">
      <w:pPr>
        <w:pStyle w:val="Duz2"/>
      </w:pPr>
      <w:r w:rsidRPr="008B0270">
        <w:t>4.</w:t>
      </w:r>
      <w:r w:rsidR="003C5391" w:rsidRPr="008B0270">
        <w:t>4</w:t>
      </w:r>
      <w:r w:rsidRPr="008B0270">
        <w:t xml:space="preserve"> Aberrant Predictive Coding, Positive Symptoms and Neural Deficits</w:t>
      </w:r>
    </w:p>
    <w:p w14:paraId="2369A562" w14:textId="5C3E3CEA" w:rsidR="00501115" w:rsidRPr="008B0270" w:rsidRDefault="00501115" w:rsidP="00C830CD">
      <w:pPr>
        <w:rPr>
          <w:rFonts w:ascii="Helvetica" w:hAnsi="Helvetica"/>
          <w:sz w:val="20"/>
          <w:szCs w:val="20"/>
        </w:rPr>
      </w:pPr>
      <w:r w:rsidRPr="008B0270">
        <w:rPr>
          <w:rFonts w:ascii="Helvetica" w:hAnsi="Helvetica"/>
          <w:sz w:val="20"/>
          <w:szCs w:val="20"/>
        </w:rPr>
        <w:t xml:space="preserve">Crucially, we identified a direct link between this behavioral stochasticity and clinical psychopathology: higher positive symptom severity significantly predicted greater decision imprecision (lower </w:t>
      </w:r>
      <m:oMath>
        <m:r>
          <w:rPr>
            <w:rFonts w:ascii="Cambria Math" w:hAnsi="Cambria Math"/>
            <w:sz w:val="20"/>
            <w:szCs w:val="20"/>
          </w:rPr>
          <m:t>β</m:t>
        </m:r>
      </m:oMath>
      <w:r w:rsidRPr="008B0270">
        <w:rPr>
          <w:rFonts w:ascii="Helvetica" w:hAnsi="Helvetica"/>
          <w:sz w:val="20"/>
          <w:szCs w:val="20"/>
        </w:rPr>
        <w:t xml:space="preserve">). This relationship provides strong empirical support for predictive coding accounts of psychosis, such as those </w:t>
      </w:r>
      <w:r w:rsidRPr="008B0270">
        <w:rPr>
          <w:rFonts w:ascii="Helvetica" w:hAnsi="Helvetica"/>
          <w:sz w:val="20"/>
          <w:szCs w:val="20"/>
        </w:rPr>
        <w:lastRenderedPageBreak/>
        <w:t>detailed by Horga and colleagues</w:t>
      </w:r>
      <w:r w:rsidRPr="008B0270">
        <w:rPr>
          <w:rFonts w:ascii="Helvetica" w:hAnsi="Helvetica"/>
          <w:sz w:val="20"/>
          <w:szCs w:val="20"/>
        </w:rPr>
        <w:fldChar w:fldCharType="begin"/>
      </w:r>
      <w:r w:rsidR="00546A47" w:rsidRPr="008B0270">
        <w:rPr>
          <w:rFonts w:ascii="Helvetica" w:hAnsi="Helvetica"/>
          <w:sz w:val="20"/>
          <w:szCs w:val="20"/>
        </w:rPr>
        <w:instrText xml:space="preserve"> ADDIN ZOTERO_ITEM CSL_CITATION {"citationID":"VNwwh9W1","properties":{"formattedCitation":"(38)","plainCitation":"(38)","noteIndex":0},"citationItems":[{"id":5478,"uris":["http://zotero.org/users/9264269/items/Q6645SFJ"],"itemData":{"id":5478,"type":"article-journal","container-title":"Journal of Neuroscience","DOI":"10.1523/JNEUROSCI.0200-14.2014","ISSN":"0270-6474, 1529-2401","issue":"24","journalAbbreviation":"Journal of Neuroscience","language":"en","page":"8072-8082","source":"DOI.org (Crossref)","title":"Deficits in Predictive Coding Underlie Hallucinations in Schizophrenia","volume":"34","author":[{"family":"Horga","given":"G."},{"family":"Schatz","given":"K. C."},{"family":"Abi-Dargham","given":"A."},{"family":"Peterson","given":"B. S."}],"issued":{"date-parts":[["2014",6,11]]}}}],"schema":"https://github.com/citation-style-language/schema/raw/master/csl-citation.json"} </w:instrText>
      </w:r>
      <w:r w:rsidRPr="008B0270">
        <w:rPr>
          <w:rFonts w:ascii="Helvetica" w:hAnsi="Helvetica"/>
          <w:sz w:val="20"/>
          <w:szCs w:val="20"/>
        </w:rPr>
        <w:fldChar w:fldCharType="separate"/>
      </w:r>
      <w:r w:rsidR="00546A47" w:rsidRPr="008B0270">
        <w:rPr>
          <w:rFonts w:ascii="Helvetica" w:hAnsi="Helvetica"/>
          <w:sz w:val="20"/>
          <w:szCs w:val="20"/>
        </w:rPr>
        <w:t>(38)</w:t>
      </w:r>
      <w:r w:rsidRPr="008B0270">
        <w:rPr>
          <w:rFonts w:ascii="Helvetica" w:hAnsi="Helvetica"/>
          <w:sz w:val="20"/>
          <w:szCs w:val="20"/>
        </w:rPr>
        <w:fldChar w:fldCharType="end"/>
      </w:r>
      <w:r w:rsidRPr="008B0270">
        <w:rPr>
          <w:rFonts w:ascii="Helvetica" w:hAnsi="Helvetica"/>
          <w:sz w:val="20"/>
          <w:szCs w:val="20"/>
        </w:rPr>
        <w:t xml:space="preserve">. According to this framework, positive symptoms like hallucinations and delusions arise from a fundamental disruption in "precision weighting", an inability to appropriately balance the reliability of internal priors against incoming sensory </w:t>
      </w:r>
      <w:r w:rsidR="007B7348" w:rsidRPr="008B0270">
        <w:rPr>
          <w:rFonts w:ascii="Helvetica" w:hAnsi="Helvetica"/>
          <w:sz w:val="20"/>
          <w:szCs w:val="20"/>
        </w:rPr>
        <w:t>PEs</w:t>
      </w:r>
      <w:r w:rsidR="007B7348" w:rsidRPr="008B0270">
        <w:rPr>
          <w:rFonts w:ascii="Helvetica" w:hAnsi="Helvetica"/>
          <w:sz w:val="20"/>
          <w:szCs w:val="20"/>
        </w:rPr>
        <w:fldChar w:fldCharType="begin"/>
      </w:r>
      <w:r w:rsidR="00546A47" w:rsidRPr="008B0270">
        <w:rPr>
          <w:rFonts w:ascii="Helvetica" w:hAnsi="Helvetica"/>
          <w:sz w:val="20"/>
          <w:szCs w:val="20"/>
        </w:rPr>
        <w:instrText xml:space="preserve"> ADDIN ZOTERO_ITEM CSL_CITATION {"citationID":"cnnbt39p","properties":{"formattedCitation":"(39,40)","plainCitation":"(39,40)","noteIndex":0},"citationItems":[{"id":382,"uris":["http://zotero.org/users/9264269/items/D6F6LLRB"],"itemData":{"id":382,"type":"document","abstract":"Fueled by developments in computational neuroscience, there has been increasing interest in the underlying neurocomputational mechanisms of psychosis. One successful approach involves predictive coding and Bayesian inference. Here, inferences regarding the current state of the world are made by combining prior beliefs with incoming sensory signals. Mismatches between prior beliefs and incoming signals constitute prediction errors that drive new learning. Psychosis has been suggested to result from a decreased precision in the encoding of prior beliefs relative to the sensory data, thereby garnering maladaptive inferences. Here, we review the current evidence for aberrant predictive coding and discuss challenges for this canonical predictive coding account of psychosis. For example, hallucinations and delusions may relate to distinct alterations in predictive coding, despite their common co-occurrence. More broadly, some studies implicate weakened prior beliefs in psychosis, and others find stronger priors. These challenges might be answered with a more nuanced view of predictive coding. Different priors may be specified for different sensory modalities and their integration, and deficits in each modality need not be uniform. Furthermore, hierarchical organization may be critical. Altered processes at lower levels of a hierarchy need not be linearly related to processes at higher levels (and vice versa). Finally, canonical theories do not highlight active inference—the process through which the effects of our actions on our sensations are anticipated and minimized. It is possible that conflicting findings might be reconciled by considering these complexities, portending a framework for psychosis more equipped to deal with its many manifestations.","DOI":"10.1016/j.biopsych.2018.05.015","note":"ISSN: 18732402\nissue: 9\npage: 634–643\ncontainer-title: Biological Psychiatry\nvolume: 84\nPMID: 30007575","publisher":"Elsevier USA","title":"The Predictive Coding Account of Psychosis","author":[{"family":"Sterzer","given":"Philipp"},{"family":"Adams","given":"Rick A."},{"family":"Fletcher","given":"Paul"},{"family":"Frith","given":"Chris"},{"family":"Lawrie","given":"Stephen M."},{"family":"Muckli","given":"Lars"},{"family":"Petrovic","given":"Predrag"},{"family":"Uhlhaas","given":"Peter"},{"family":"Voss","given":"Martin"},{"family":"Corlett","given":"Philip R."}],"issued":{"date-parts":[["2018",11]]}}},{"id":5461,"uris":["http://zotero.org/users/9264269/items/6ZY9W8B3"],"itemData":{"id":5461,"type":"article-journal","abstract":"Predictive coding offers a powerful computational framework for understanding brain function and psychiatric disorders at a mechanistic level. This perspective synthesizes advances in computational psychiatry, proposing that mental disorders can be conceptualized as specific alterations in the brain’s predictive inference machinery. We first outline the theoretical foundations of predictive coding, including Bayesian inference, free-energy minimization, and neural population dynamics, illustrating how these abstract computational principles map onto specific neural circuits and biophysical mechanisms. We then argue that diverse psychiatric conditions can be understood within this unified framework. Taken together, these links between theory, generative models and empirical data suggest a route by which predictive coding might be rendered a testable, modifiable, falsifiable construct within biological psychiatry. Beyond offering conceptual clarity, this framework has significant clinical implications, including the development of mechanistic biomarkers, personalized treatment approaches based on computational phenotypes, and novel therapeutic interventions targeting specific inferential abnormalities. By grounding psychiatric symptoms in aberrant predictive processes implemented in neural circuitry, this approach promises a more mechanistic understanding of mental disorders and a path toward more targeted, effective interventions.","container-title":"Frontiers in Psychiatry","DOI":"10.3389/fpsyt.2025.1713833","ISSN":"1664-0640","journalAbbreviation":"Front. Psychiatry","page":"1713833","source":"DOI.org (Crossref)","title":"Predictive coding and neurocomputational psychiatry: a mechanistic framework for understanding mental disorders","title-short":"Predictive coding and neurocomputational psychiatry","volume":"16","author":[{"family":"Shaw","given":"Alexander D."},{"family":"Sumner","given":"Rachael L."},{"family":"Berndt","given":"Lioba C. S."}],"issued":{"date-parts":[["2026",1,7]]}}}],"schema":"https://github.com/citation-style-language/schema/raw/master/csl-citation.json"} </w:instrText>
      </w:r>
      <w:r w:rsidR="007B7348" w:rsidRPr="008B0270">
        <w:rPr>
          <w:rFonts w:ascii="Helvetica" w:hAnsi="Helvetica"/>
          <w:sz w:val="20"/>
          <w:szCs w:val="20"/>
        </w:rPr>
        <w:fldChar w:fldCharType="separate"/>
      </w:r>
      <w:r w:rsidR="00546A47" w:rsidRPr="008B0270">
        <w:rPr>
          <w:rFonts w:ascii="Helvetica" w:hAnsi="Helvetica"/>
          <w:sz w:val="20"/>
          <w:szCs w:val="20"/>
        </w:rPr>
        <w:t>(39,40)</w:t>
      </w:r>
      <w:r w:rsidR="007B7348" w:rsidRPr="008B0270">
        <w:rPr>
          <w:rFonts w:ascii="Helvetica" w:hAnsi="Helvetica"/>
          <w:sz w:val="20"/>
          <w:szCs w:val="20"/>
        </w:rPr>
        <w:fldChar w:fldCharType="end"/>
      </w:r>
      <w:r w:rsidRPr="008B0270">
        <w:rPr>
          <w:rFonts w:ascii="Helvetica" w:hAnsi="Helvetica"/>
          <w:sz w:val="20"/>
          <w:szCs w:val="20"/>
        </w:rPr>
        <w:t>. When the precision of external social feedback is aberrantly down-weighted, the patient cannot reliably use that feedback to update their internal models. Consequently, decision-making becomes dominated by fixed, potentially delusional internal narratives, driving the noisy and symptom-bound choice patterns observed in our computational data.</w:t>
      </w:r>
    </w:p>
    <w:p w14:paraId="4B79055B" w14:textId="77777777" w:rsidR="00501115" w:rsidRPr="008B0270" w:rsidRDefault="00501115" w:rsidP="00C830CD">
      <w:pPr>
        <w:rPr>
          <w:rFonts w:ascii="Helvetica" w:hAnsi="Helvetica"/>
          <w:sz w:val="20"/>
          <w:szCs w:val="20"/>
        </w:rPr>
      </w:pPr>
    </w:p>
    <w:p w14:paraId="398A2F9B" w14:textId="3784DD93" w:rsidR="00501115" w:rsidRPr="008B0270" w:rsidRDefault="00501115" w:rsidP="00C830CD">
      <w:pPr>
        <w:rPr>
          <w:rFonts w:ascii="Helvetica" w:hAnsi="Helvetica"/>
          <w:sz w:val="20"/>
          <w:szCs w:val="20"/>
        </w:rPr>
      </w:pPr>
      <w:r w:rsidRPr="008B0270">
        <w:rPr>
          <w:rFonts w:ascii="Helvetica" w:hAnsi="Helvetica"/>
          <w:sz w:val="20"/>
          <w:szCs w:val="20"/>
        </w:rPr>
        <w:t xml:space="preserve">Our fMRI findings provide the direct neural substrate for this predictive coding failure. In HC, social </w:t>
      </w:r>
      <w:r w:rsidR="003C5391" w:rsidRPr="008B0270">
        <w:rPr>
          <w:rFonts w:ascii="Helvetica" w:hAnsi="Helvetica"/>
          <w:sz w:val="20"/>
          <w:szCs w:val="20"/>
        </w:rPr>
        <w:t>PE</w:t>
      </w:r>
      <w:r w:rsidRPr="008B0270">
        <w:rPr>
          <w:rFonts w:ascii="Helvetica" w:hAnsi="Helvetica"/>
          <w:sz w:val="20"/>
          <w:szCs w:val="20"/>
        </w:rPr>
        <w:t xml:space="preserve"> robustly engaged both canonical reward hubs (the right ventral striatum with caudate/nucleus accumbens) and posterior sensory-processing networks (left lateral occipital cortex) to compute and propagate learning signals. In stark contrast, the SZ cohort exhibited a severe, FWE-corrected attenuation of prediction error signaling across this exact network. Without a robust neural prediction error signal to register the "surprise" of the trustee's actions, the patient's decision-making system is deprived of accurate feedback data. </w:t>
      </w:r>
      <w:r w:rsidR="001F1042" w:rsidRPr="008B0270">
        <w:rPr>
          <w:rFonts w:ascii="Helvetica" w:hAnsi="Helvetica"/>
          <w:sz w:val="20"/>
          <w:szCs w:val="20"/>
        </w:rPr>
        <w:t>This deficit, particularly within the fusiform gyrus and occipital regions, aligns with shortened intrinsic neural timescales and impaired functional connectivity within early visual hierarchies</w:t>
      </w:r>
      <w:r w:rsidR="003152EC" w:rsidRPr="008B0270">
        <w:rPr>
          <w:rFonts w:ascii="Helvetica" w:hAnsi="Helvetica"/>
          <w:sz w:val="20"/>
          <w:szCs w:val="20"/>
        </w:rPr>
        <w:fldChar w:fldCharType="begin"/>
      </w:r>
      <w:r w:rsidR="00546A47" w:rsidRPr="008B0270">
        <w:rPr>
          <w:rFonts w:ascii="Helvetica" w:hAnsi="Helvetica"/>
          <w:sz w:val="20"/>
          <w:szCs w:val="20"/>
        </w:rPr>
        <w:instrText xml:space="preserve"> ADDIN ZOTERO_ITEM CSL_CITATION {"citationID":"r27TNOvA","properties":{"formattedCitation":"(41\\uc0\\u8211{}44)","plainCitation":"(41–44)","noteIndex":0},"citationItems":[{"id":5474,"uris":["http://zotero.org/users/9264269/items/SBL8EFJC"],"itemData":{"id":5474,"type":"article-journal","abstract":"Hierarchical perceptual-inference models of psychosis may provide a holistic framework for understanding psychosis in schizophrenia including heterogeneity in clinical presentations. Particularly, hypothesized alterations at distinct levels of the perceptual-inference hierarchy may explain why hallucinations and delusions tend to cluster together yet sometimes manifest in isolation. To test this, we used a recently developed resting-state fMRI measure of intrinsic neural timescale (INT), which reflects the time window of neural integration and captures hierarchical brain gradients. In analyses examining extended sensory hierarchies that we first validated, we found distinct hierarchical INT alterations for hallucinations versus delusions in the auditory and somatosensory systems, thus providing support for hierarchical perceptual-inference models of psychosis. Simulations using a large-scale biophysical model suggested local elevations of excitation-inhibition ratio at different hierarchical levels as a potential mechanism. More generally, our work highlights the robustness and utility of INT for studying hierarchical processes relevant to basic and clinical neuroscience.","container-title":"eLife","DOI":"10.7554/eLife.56151","ISSN":"2050-084X","language":"en","page":"e56151","source":"DOI.org (Crossref)","title":"Distinct hierarchical alterations of intrinsic neural timescales account for different manifestations of psychosis","volume":"9","author":[{"family":"Wengler","given":"Kenneth"},{"family":"Goldberg","given":"Andrew T"},{"family":"Chahine","given":"George"},{"family":"Horga","given":"Guillermo"}],"issued":{"date-parts":[["2020",10,27]]}}},{"id":5473,"uris":["http://zotero.org/users/9264269/items/2AWW3K9M"],"itemData":{"id":5473,"type":"article-journal","abstract":"Abstract\n            \n              Evidence of altered visual processing is well</w:instrText>
      </w:r>
      <w:r w:rsidR="00546A47" w:rsidRPr="008B0270">
        <w:rPr>
          <w:rFonts w:ascii="Cambria Math" w:hAnsi="Cambria Math" w:cs="Cambria Math"/>
          <w:sz w:val="20"/>
          <w:szCs w:val="20"/>
        </w:rPr>
        <w:instrText>‐</w:instrText>
      </w:r>
      <w:r w:rsidR="00546A47" w:rsidRPr="008B0270">
        <w:rPr>
          <w:rFonts w:ascii="Helvetica" w:hAnsi="Helvetica"/>
          <w:sz w:val="20"/>
          <w:szCs w:val="20"/>
        </w:rPr>
        <w:instrText xml:space="preserve">established in schizophrenia. Visual integration deficits have been highlighted as a potential diagnostic biomarker to distinguish schizophrenia from other psychiatric disorders. Motivated by the current lack of cross-diagnostic assessments of visual integration performance, the current study used the Jittered Orientation Visual Integration (JOVI) task to assess contour integration performance in 85 psychiatric inpatients split into “schizophrenia spectrum” (\n              n\n              </w:instrText>
      </w:r>
      <w:r w:rsidR="00546A47" w:rsidRPr="008B0270">
        <w:rPr>
          <w:rFonts w:ascii="Helvetica" w:hAnsi="Helvetica" w:cs="Times New Roman"/>
          <w:sz w:val="20"/>
          <w:szCs w:val="20"/>
        </w:rPr>
        <w:instrText> </w:instrText>
      </w:r>
      <w:r w:rsidR="00546A47" w:rsidRPr="008B0270">
        <w:rPr>
          <w:rFonts w:ascii="Helvetica" w:hAnsi="Helvetica"/>
          <w:sz w:val="20"/>
          <w:szCs w:val="20"/>
        </w:rPr>
        <w:instrText>=</w:instrText>
      </w:r>
      <w:r w:rsidR="00546A47" w:rsidRPr="008B0270">
        <w:rPr>
          <w:rFonts w:ascii="Helvetica" w:hAnsi="Helvetica" w:cs="Times New Roman"/>
          <w:sz w:val="20"/>
          <w:szCs w:val="20"/>
        </w:rPr>
        <w:instrText> </w:instrText>
      </w:r>
      <w:r w:rsidR="00546A47" w:rsidRPr="008B0270">
        <w:rPr>
          <w:rFonts w:ascii="Helvetica" w:hAnsi="Helvetica"/>
          <w:sz w:val="20"/>
          <w:szCs w:val="20"/>
        </w:rPr>
        <w:instrText xml:space="preserve">40) and </w:instrText>
      </w:r>
      <w:r w:rsidR="00546A47" w:rsidRPr="008B0270">
        <w:rPr>
          <w:rFonts w:ascii="Helvetica" w:hAnsi="Helvetica" w:cs="Sylfaen"/>
          <w:sz w:val="20"/>
          <w:szCs w:val="20"/>
        </w:rPr>
        <w:instrText>“</w:instrText>
      </w:r>
      <w:r w:rsidR="00546A47" w:rsidRPr="008B0270">
        <w:rPr>
          <w:rFonts w:ascii="Helvetica" w:hAnsi="Helvetica"/>
          <w:sz w:val="20"/>
          <w:szCs w:val="20"/>
        </w:rPr>
        <w:instrText>other psychiatric disorders</w:instrText>
      </w:r>
      <w:r w:rsidR="00546A47" w:rsidRPr="008B0270">
        <w:rPr>
          <w:rFonts w:ascii="Helvetica" w:hAnsi="Helvetica" w:cs="Sylfaen"/>
          <w:sz w:val="20"/>
          <w:szCs w:val="20"/>
        </w:rPr>
        <w:instrText>”</w:instrText>
      </w:r>
      <w:r w:rsidR="00546A47" w:rsidRPr="008B0270">
        <w:rPr>
          <w:rFonts w:ascii="Helvetica" w:hAnsi="Helvetica"/>
          <w:sz w:val="20"/>
          <w:szCs w:val="20"/>
        </w:rPr>
        <w:instrText xml:space="preserve"> (\n              n\n              </w:instrText>
      </w:r>
      <w:r w:rsidR="00546A47" w:rsidRPr="008B0270">
        <w:rPr>
          <w:rFonts w:ascii="Helvetica" w:hAnsi="Helvetica" w:cs="Times New Roman"/>
          <w:sz w:val="20"/>
          <w:szCs w:val="20"/>
        </w:rPr>
        <w:instrText> </w:instrText>
      </w:r>
      <w:r w:rsidR="00546A47" w:rsidRPr="008B0270">
        <w:rPr>
          <w:rFonts w:ascii="Helvetica" w:hAnsi="Helvetica"/>
          <w:sz w:val="20"/>
          <w:szCs w:val="20"/>
        </w:rPr>
        <w:instrText>=</w:instrText>
      </w:r>
      <w:r w:rsidR="00546A47" w:rsidRPr="008B0270">
        <w:rPr>
          <w:rFonts w:ascii="Helvetica" w:hAnsi="Helvetica" w:cs="Times New Roman"/>
          <w:sz w:val="20"/>
          <w:szCs w:val="20"/>
        </w:rPr>
        <w:instrText> </w:instrText>
      </w:r>
      <w:r w:rsidR="00546A47" w:rsidRPr="008B0270">
        <w:rPr>
          <w:rFonts w:ascii="Helvetica" w:hAnsi="Helvetica"/>
          <w:sz w:val="20"/>
          <w:szCs w:val="20"/>
        </w:rPr>
        <w:instrText xml:space="preserve">45), and healthy controls (\n              n\n              </w:instrText>
      </w:r>
      <w:r w:rsidR="00546A47" w:rsidRPr="008B0270">
        <w:rPr>
          <w:rFonts w:ascii="Helvetica" w:hAnsi="Helvetica" w:cs="Times New Roman"/>
          <w:sz w:val="20"/>
          <w:szCs w:val="20"/>
        </w:rPr>
        <w:instrText> </w:instrText>
      </w:r>
      <w:r w:rsidR="00546A47" w:rsidRPr="008B0270">
        <w:rPr>
          <w:rFonts w:ascii="Helvetica" w:hAnsi="Helvetica"/>
          <w:sz w:val="20"/>
          <w:szCs w:val="20"/>
        </w:rPr>
        <w:instrText>=</w:instrText>
      </w:r>
      <w:r w:rsidR="00546A47" w:rsidRPr="008B0270">
        <w:rPr>
          <w:rFonts w:ascii="Helvetica" w:hAnsi="Helvetica" w:cs="Times New Roman"/>
          <w:sz w:val="20"/>
          <w:szCs w:val="20"/>
        </w:rPr>
        <w:instrText> </w:instrText>
      </w:r>
      <w:r w:rsidR="00546A47" w:rsidRPr="008B0270">
        <w:rPr>
          <w:rFonts w:ascii="Helvetica" w:hAnsi="Helvetica"/>
          <w:sz w:val="20"/>
          <w:szCs w:val="20"/>
        </w:rPr>
        <w:instrText xml:space="preserve">43). The study also examined attentional and working memory ability using the Digit Span Task. JOVI accuracy scores were found to be significantly impaired relative to healthy controls for both the schizophrenia (\n              p\n              </w:instrText>
      </w:r>
      <w:r w:rsidR="00546A47" w:rsidRPr="008B0270">
        <w:rPr>
          <w:rFonts w:ascii="Helvetica" w:hAnsi="Helvetica" w:cs="Times New Roman"/>
          <w:sz w:val="20"/>
          <w:szCs w:val="20"/>
        </w:rPr>
        <w:instrText> </w:instrText>
      </w:r>
      <w:r w:rsidR="00546A47" w:rsidRPr="008B0270">
        <w:rPr>
          <w:rFonts w:ascii="Helvetica" w:hAnsi="Helvetica"/>
          <w:sz w:val="20"/>
          <w:szCs w:val="20"/>
        </w:rPr>
        <w:instrText>&lt;</w:instrText>
      </w:r>
      <w:r w:rsidR="00546A47" w:rsidRPr="008B0270">
        <w:rPr>
          <w:rFonts w:ascii="Helvetica" w:hAnsi="Helvetica" w:cs="Times New Roman"/>
          <w:sz w:val="20"/>
          <w:szCs w:val="20"/>
        </w:rPr>
        <w:instrText> </w:instrText>
      </w:r>
      <w:r w:rsidR="00546A47" w:rsidRPr="008B0270">
        <w:rPr>
          <w:rFonts w:ascii="Helvetica" w:hAnsi="Helvetica"/>
          <w:sz w:val="20"/>
          <w:szCs w:val="20"/>
        </w:rPr>
        <w:instrText xml:space="preserve">0.001) and other psychiatric (\n              p\n              </w:instrText>
      </w:r>
      <w:r w:rsidR="00546A47" w:rsidRPr="008B0270">
        <w:rPr>
          <w:rFonts w:ascii="Helvetica" w:hAnsi="Helvetica" w:cs="Times New Roman"/>
          <w:sz w:val="20"/>
          <w:szCs w:val="20"/>
        </w:rPr>
        <w:instrText> </w:instrText>
      </w:r>
      <w:r w:rsidR="00546A47" w:rsidRPr="008B0270">
        <w:rPr>
          <w:rFonts w:ascii="Helvetica" w:hAnsi="Helvetica"/>
          <w:sz w:val="20"/>
          <w:szCs w:val="20"/>
        </w:rPr>
        <w:instrText>&lt;</w:instrText>
      </w:r>
      <w:r w:rsidR="00546A47" w:rsidRPr="008B0270">
        <w:rPr>
          <w:rFonts w:ascii="Helvetica" w:hAnsi="Helvetica" w:cs="Times New Roman"/>
          <w:sz w:val="20"/>
          <w:szCs w:val="20"/>
        </w:rPr>
        <w:instrText> </w:instrText>
      </w:r>
      <w:r w:rsidR="00546A47" w:rsidRPr="008B0270">
        <w:rPr>
          <w:rFonts w:ascii="Helvetica" w:hAnsi="Helvetica"/>
          <w:sz w:val="20"/>
          <w:szCs w:val="20"/>
        </w:rPr>
        <w:instrText xml:space="preserve">0001) patient groups. In line with a transdiagnostic deficit, no differences in JOVI accuracy were seen between the patient groups (\n              p\n              </w:instrText>
      </w:r>
      <w:r w:rsidR="00546A47" w:rsidRPr="008B0270">
        <w:rPr>
          <w:rFonts w:ascii="Helvetica" w:hAnsi="Helvetica" w:cs="Times New Roman"/>
          <w:sz w:val="20"/>
          <w:szCs w:val="20"/>
        </w:rPr>
        <w:instrText> </w:instrText>
      </w:r>
      <w:r w:rsidR="00546A47" w:rsidRPr="008B0270">
        <w:rPr>
          <w:rFonts w:ascii="Helvetica" w:hAnsi="Helvetica"/>
          <w:sz w:val="20"/>
          <w:szCs w:val="20"/>
        </w:rPr>
        <w:instrText>=</w:instrText>
      </w:r>
      <w:r w:rsidR="00546A47" w:rsidRPr="008B0270">
        <w:rPr>
          <w:rFonts w:ascii="Helvetica" w:hAnsi="Helvetica" w:cs="Times New Roman"/>
          <w:sz w:val="20"/>
          <w:szCs w:val="20"/>
        </w:rPr>
        <w:instrText> </w:instrText>
      </w:r>
      <w:r w:rsidR="00546A47" w:rsidRPr="008B0270">
        <w:rPr>
          <w:rFonts w:ascii="Helvetica" w:hAnsi="Helvetica"/>
          <w:sz w:val="20"/>
          <w:szCs w:val="20"/>
        </w:rPr>
        <w:instrText xml:space="preserve">0.97) with reduced JOVI accuracy correlating with worsening psychosis regardless of diagnosis (\n              r\n              </w:instrText>
      </w:r>
      <w:r w:rsidR="00546A47" w:rsidRPr="008B0270">
        <w:rPr>
          <w:rFonts w:ascii="Helvetica" w:hAnsi="Helvetica" w:cs="Times New Roman"/>
          <w:sz w:val="20"/>
          <w:szCs w:val="20"/>
        </w:rPr>
        <w:instrText> </w:instrText>
      </w:r>
      <w:r w:rsidR="00546A47" w:rsidRPr="008B0270">
        <w:rPr>
          <w:rFonts w:ascii="Helvetica" w:hAnsi="Helvetica"/>
          <w:sz w:val="20"/>
          <w:szCs w:val="20"/>
        </w:rPr>
        <w:instrText>=</w:instrText>
      </w:r>
      <w:r w:rsidR="00546A47" w:rsidRPr="008B0270">
        <w:rPr>
          <w:rFonts w:ascii="Helvetica" w:hAnsi="Helvetica" w:cs="Times New Roman"/>
          <w:sz w:val="20"/>
          <w:szCs w:val="20"/>
        </w:rPr>
        <w:instrText> </w:instrText>
      </w:r>
      <w:r w:rsidR="00546A47" w:rsidRPr="008B0270">
        <w:rPr>
          <w:rFonts w:ascii="Helvetica" w:hAnsi="Helvetica" w:cs="Sylfaen"/>
          <w:sz w:val="20"/>
          <w:szCs w:val="20"/>
        </w:rPr>
        <w:instrText>−</w:instrText>
      </w:r>
      <w:r w:rsidR="00546A47" w:rsidRPr="008B0270">
        <w:rPr>
          <w:rFonts w:ascii="Helvetica" w:hAnsi="Helvetica"/>
          <w:sz w:val="20"/>
          <w:szCs w:val="20"/>
        </w:rPr>
        <w:instrText xml:space="preserve">0.32,\n              p\n              </w:instrText>
      </w:r>
      <w:r w:rsidR="00546A47" w:rsidRPr="008B0270">
        <w:rPr>
          <w:rFonts w:ascii="Helvetica" w:hAnsi="Helvetica" w:cs="Times New Roman"/>
          <w:sz w:val="20"/>
          <w:szCs w:val="20"/>
        </w:rPr>
        <w:instrText> </w:instrText>
      </w:r>
      <w:r w:rsidR="00546A47" w:rsidRPr="008B0270">
        <w:rPr>
          <w:rFonts w:ascii="Helvetica" w:hAnsi="Helvetica"/>
          <w:sz w:val="20"/>
          <w:szCs w:val="20"/>
        </w:rPr>
        <w:instrText>&lt;</w:instrText>
      </w:r>
      <w:r w:rsidR="00546A47" w:rsidRPr="008B0270">
        <w:rPr>
          <w:rFonts w:ascii="Helvetica" w:hAnsi="Helvetica" w:cs="Times New Roman"/>
          <w:sz w:val="20"/>
          <w:szCs w:val="20"/>
        </w:rPr>
        <w:instrText> </w:instrText>
      </w:r>
      <w:r w:rsidR="00546A47" w:rsidRPr="008B0270">
        <w:rPr>
          <w:rFonts w:ascii="Helvetica" w:hAnsi="Helvetica"/>
          <w:sz w:val="20"/>
          <w:szCs w:val="20"/>
        </w:rPr>
        <w:instrText xml:space="preserve">0.05). Schizophrenia spectrum patients also showed reduced Digit Span Forward (\n              p\n              </w:instrText>
      </w:r>
      <w:r w:rsidR="00546A47" w:rsidRPr="008B0270">
        <w:rPr>
          <w:rFonts w:ascii="Helvetica" w:hAnsi="Helvetica" w:cs="Times New Roman"/>
          <w:sz w:val="20"/>
          <w:szCs w:val="20"/>
        </w:rPr>
        <w:instrText> </w:instrText>
      </w:r>
      <w:r w:rsidR="00546A47" w:rsidRPr="008B0270">
        <w:rPr>
          <w:rFonts w:ascii="Helvetica" w:hAnsi="Helvetica"/>
          <w:sz w:val="20"/>
          <w:szCs w:val="20"/>
        </w:rPr>
        <w:instrText>&lt;</w:instrText>
      </w:r>
      <w:r w:rsidR="00546A47" w:rsidRPr="008B0270">
        <w:rPr>
          <w:rFonts w:ascii="Helvetica" w:hAnsi="Helvetica" w:cs="Times New Roman"/>
          <w:sz w:val="20"/>
          <w:szCs w:val="20"/>
        </w:rPr>
        <w:instrText> </w:instrText>
      </w:r>
      <w:r w:rsidR="00546A47" w:rsidRPr="008B0270">
        <w:rPr>
          <w:rFonts w:ascii="Helvetica" w:hAnsi="Helvetica"/>
          <w:sz w:val="20"/>
          <w:szCs w:val="20"/>
        </w:rPr>
        <w:instrText xml:space="preserve">0.001) and Backward scores (\n              p\n              </w:instrText>
      </w:r>
      <w:r w:rsidR="00546A47" w:rsidRPr="008B0270">
        <w:rPr>
          <w:rFonts w:ascii="Helvetica" w:hAnsi="Helvetica" w:cs="Times New Roman"/>
          <w:sz w:val="20"/>
          <w:szCs w:val="20"/>
        </w:rPr>
        <w:instrText> </w:instrText>
      </w:r>
      <w:r w:rsidR="00546A47" w:rsidRPr="008B0270">
        <w:rPr>
          <w:rFonts w:ascii="Helvetica" w:hAnsi="Helvetica"/>
          <w:sz w:val="20"/>
          <w:szCs w:val="20"/>
        </w:rPr>
        <w:instrText>&lt;</w:instrText>
      </w:r>
      <w:r w:rsidR="00546A47" w:rsidRPr="008B0270">
        <w:rPr>
          <w:rFonts w:ascii="Helvetica" w:hAnsi="Helvetica" w:cs="Times New Roman"/>
          <w:sz w:val="20"/>
          <w:szCs w:val="20"/>
        </w:rPr>
        <w:instrText> </w:instrText>
      </w:r>
      <w:r w:rsidR="00546A47" w:rsidRPr="008B0270">
        <w:rPr>
          <w:rFonts w:ascii="Helvetica" w:hAnsi="Helvetica"/>
          <w:sz w:val="20"/>
          <w:szCs w:val="20"/>
        </w:rPr>
        <w:instrText xml:space="preserve">0.001). The other psychiatric (\n              p\n              </w:instrText>
      </w:r>
      <w:r w:rsidR="00546A47" w:rsidRPr="008B0270">
        <w:rPr>
          <w:rFonts w:ascii="Helvetica" w:hAnsi="Helvetica" w:cs="Times New Roman"/>
          <w:sz w:val="20"/>
          <w:szCs w:val="20"/>
        </w:rPr>
        <w:instrText> </w:instrText>
      </w:r>
      <w:r w:rsidR="00546A47" w:rsidRPr="008B0270">
        <w:rPr>
          <w:rFonts w:ascii="Helvetica" w:hAnsi="Helvetica"/>
          <w:sz w:val="20"/>
          <w:szCs w:val="20"/>
        </w:rPr>
        <w:instrText>=</w:instrText>
      </w:r>
      <w:r w:rsidR="00546A47" w:rsidRPr="008B0270">
        <w:rPr>
          <w:rFonts w:ascii="Helvetica" w:hAnsi="Helvetica" w:cs="Times New Roman"/>
          <w:sz w:val="20"/>
          <w:szCs w:val="20"/>
        </w:rPr>
        <w:instrText> </w:instrText>
      </w:r>
      <w:r w:rsidR="00546A47" w:rsidRPr="008B0270">
        <w:rPr>
          <w:rFonts w:ascii="Helvetica" w:hAnsi="Helvetica"/>
          <w:sz w:val="20"/>
          <w:szCs w:val="20"/>
        </w:rPr>
        <w:instrText xml:space="preserve">0.024) group were similarly found to be impaired in the Digit Span Backward relative to healthy controls, however no differences were seen between the patient groups. The findings indicate that contour integration deficits are not specific to schizophrenia spectrum disorders, and instead the neurobiological underpinnings of visual integration impairment may share commonality with psychosis more generally. The findings are also consistent with cognitive factors playing a potential role in JOVI performance and highlight the difficulty in teasing apart altered perceptual and cognitive function in psychiatric patient groups.","container-title":"Schizophrenia","DOI":"10.1038/s41537-025-00606-0","ISSN":"2754-6993","issue":"1","journalAbbreviation":"Schizophr","language":"en","page":"58","source":"DOI.org (Crossref)","title":"Visual integration deficits associated with psychosis are independent of diagnosis","volume":"11","author":[{"family":"Geljic","given":"Mia"},{"family":"Mitchell","given":"Matthew"},{"family":"Stevens","given":"Keri-Anne"},{"family":"Holbrook","given":"Henry"},{"family":"Darke","given":"Hayley"},{"family":"Goodbourn","given":"Patrick"},{"family":"Damicoucas","given":"Christina"},{"family":"Asghari-Jafarabadi","given":"Mohammad"},{"family":"Sundram","given":"Suresh"},{"family":"Carter","given":"Olivia"}],"issued":{"date-parts":[["2025",4,9]]}}},{"id":5460,"uris":["http://zotero.org/users/9264269/items/H8C6XTNR"],"itemData":{"id":5460,"type":"article-journal","container-title":"Journal of Abnormal Psychology","DOI":"10.1037/abn0000494","ISSN":"1939-1846, 0021-843X","issue":"6","journalAbbreviation":"Journal of Abnormal Psychology","language":"en","license":"http://creativecommons.org/licenses/by/3.0/","page":"581-598","source":"DOI.org (Crossref)","title":"Influence of prior beliefs on perception in early psychosis: Effects of illness stage and hierarchical level of belief.","title-short":"Influence of prior beliefs on perception in early psychosis","volume":"129","author":[{"family":"Haarsma","given":"Joost"},{"family":"Knolle","given":"Franziska"},{"family":"Griffin","given":"Juliet D."},{"family":"Taverne","given":"Hilde"},{"family":"Mada","given":"Marius"},{"family":"Goodyer","given":"Ian M."},{"literal":"The Nspn Consortium"},{"family":"Fletcher","given":"Paul C."},{"family":"Murray","given":"Graham K."}],"issued":{"date-parts":[["2020",8]]}}},{"id":5459,"uris":["http://zotero.org/users/9264269/items/XAUE74IR"],"itemData":{"id":5459,"type":"article-journal","abstract":"Abstract\n            We computed intrinsic neural timescales (INT) based on resting-state functional magnetic resonance imaging (rsfMRI) data of healthy controls (HC) and patients with schizophrenia spectrum disorder (SZ) from three independently collected samples. Five clusters showed decreased INT in SZ compared to HC in all three samples: right occipital fusiform gyrus (rOFG), left superior occipital gyrus (lSOG), right superior occipital gyrus (rSOG), left lateral occipital cortex (lLOC) and right postcentral gyrus (rPG). In other words, it appears that sensory information in visual and posterior parietal areas is stored for reduced lengths of time in SZ compared to HC. Finally, we found that symptom severity appears to modulate INT of these areas in SZ.","container-title":"npj Schizophrenia","DOI":"10.1038/s41537-021-00184-x","ISSN":"2334-265X","issue":"1","journalAbbreviation":"npj Schizophr","language":"en","page":"55","source":"DOI.org (Crossref)","title":"Reduced intrinsic neural timescales in schizophrenia along posterior parietal and occipital areas","volume":"7","author":[{"family":"Uscătescu","given":"Lavinia Carmen"},{"family":"Said-Yürekli","given":"Sarah"},{"family":"Kronbichler","given":"Lisa"},{"family":"Stelzig-Schöler","given":"Renate"},{"family":"Pearce","given":"Brandy-Gale"},{"family":"Reich","given":"Luise Antonia"},{"family":"Weber","given":"Stefanie"},{"family":"Aichhorn","given":"Wolfgang"},{"family":"Kronbichler","given":"Martin"}],"issued":{"date-parts":[["2021",11,22]]}}}],"schema":"https://github.com/citation-style-language/schema/raw/master/csl-citation.json"} </w:instrText>
      </w:r>
      <w:r w:rsidR="003152EC" w:rsidRPr="008B0270">
        <w:rPr>
          <w:rFonts w:ascii="Helvetica" w:hAnsi="Helvetica"/>
          <w:sz w:val="20"/>
          <w:szCs w:val="20"/>
        </w:rPr>
        <w:fldChar w:fldCharType="separate"/>
      </w:r>
      <w:r w:rsidR="00546A47" w:rsidRPr="008B0270">
        <w:rPr>
          <w:rFonts w:ascii="Helvetica" w:hAnsi="Helvetica" w:cs="Times New Roman"/>
          <w:sz w:val="20"/>
          <w:szCs w:val="20"/>
        </w:rPr>
        <w:t>(41–44)</w:t>
      </w:r>
      <w:r w:rsidR="003152EC" w:rsidRPr="008B0270">
        <w:rPr>
          <w:rFonts w:ascii="Helvetica" w:hAnsi="Helvetica"/>
          <w:sz w:val="20"/>
          <w:szCs w:val="20"/>
        </w:rPr>
        <w:fldChar w:fldCharType="end"/>
      </w:r>
      <w:r w:rsidR="001F1042" w:rsidRPr="008B0270">
        <w:rPr>
          <w:rFonts w:ascii="Helvetica" w:hAnsi="Helvetica"/>
          <w:sz w:val="20"/>
          <w:szCs w:val="20"/>
        </w:rPr>
        <w:t>, indicating a fundamental breakdown in sensory precision, potentially due to NMDA hypofunction</w:t>
      </w:r>
      <w:r w:rsidR="001F1042" w:rsidRPr="008B0270">
        <w:rPr>
          <w:rFonts w:ascii="Helvetica" w:hAnsi="Helvetica"/>
          <w:sz w:val="20"/>
          <w:szCs w:val="20"/>
        </w:rPr>
        <w:fldChar w:fldCharType="begin"/>
      </w:r>
      <w:r w:rsidR="00546A47" w:rsidRPr="008B0270">
        <w:rPr>
          <w:rFonts w:ascii="Helvetica" w:hAnsi="Helvetica"/>
          <w:sz w:val="20"/>
          <w:szCs w:val="20"/>
        </w:rPr>
        <w:instrText xml:space="preserve"> ADDIN ZOTERO_ITEM CSL_CITATION {"citationID":"tgE3VJOM","properties":{"formattedCitation":"(45\\uc0\\u8211{}48)","plainCitation":"(45–48)","noteIndex":0},"citationItems":[{"id":5475,"uris":["http://zotero.org/users/9264269/items/3UP8K58Q"],"itemData":{"id":5475,"type":"article-journal","abstract":"N-methyl-d-aspartate (NMDA) receptor (NMDAR) hypofunction plays a key role in pathophysiology of schizophrenia. Since NMDAR hypofunction has also been reported in autism, Alzheimer's disease and cognitive dementia, it is crucial to identify the location, timing, and mechanism of NMDAR hypofunction for schizophrenia for better understanding of disease etiology and for novel therapeutic intervention. In this review, we first discuss the shared underlying mechanisms of NMDAR hypofunction in NMDAR antagonist models and the anti-NMDAR autoantibody model of schizophrenia and suggest that NMDAR hypofunction could occur in GABAergic neurons in both models. Preclinical models using transgenic mice have shown that NMDAR hypofunction in cortical GABAergic neurons, in particular parvalbumin-positive fast-spiking interneurons, in the early postnatal period confers schizophrenia-related phenotypes. Recent studies suggest that NMDAR hypofunction can also occur in PV-positive GABAergic neurons with alterations of NMDAR-associated proteins, such as neuregulin/ErbB4, α7nAChR, and serine racemase. Furthermore, several environmental factors, such as oxidative stress, kynurenic acid and hypoxia, may also potentially elicit NMDAR hypofunction in GABAergic neurons in early postnatal period. Altogether, the studies discussed here support a central role for GABAergic abnormalities in the context of NMDAR hypofunction. We conclude by suggesting potential therapeutic strategies to improve the function of fast-spiking neurons.","container-title":"Pharmacology &amp; Therapeutics","DOI":"10.1016/j.pharmthera.2019.107426","ISSN":"1879-016X","journalAbbreviation":"Pharmacol Ther","language":"eng","page":"107426","PMID":"31629007","PMCID":"PMC6981256","source":"PubMed","title":"The origin of NMDA receptor hypofunction in schizophrenia","volume":"205","author":[{"family":"Nakazawa","given":"Kazu"},{"family":"Sapkota","given":"Kiran"}],"issued":{"date-parts":[["2020",1]]}}},{"id":5477,"uris":["http://zotero.org/users/9264269/items/KX7CQ4SG"],"itemData":{"id":5477,"type":"article-journal","abstract":"The experience of coupling between motor output and visual feedback is necessary for the development of visuomotor skills and shapes visuomotor integration in visual cortex. Whether these experience-dependent changes of responses in V1 depend on modifications of the local circuit or are the consequence of circuit changes outside of V1 remains unclear. Here, we probed the role of\n              N\n              -methyl-\n              d\n              -aspartate (NMDA) receptor-dependent signaling, which is known to be involved in neuronal plasticity, in mouse primary visual cortex (V1) during visuomotor development. We used a local knockout of NMDA receptors and a photoactivatable inhibition of CaMKII in V1 during the first visual experience to probe for changes in neuronal activity in V1 as well as the influence on performance in a visuomotor task. We found that a knockout of NMDA receptors before, but not after, first visuomotor experience reduced responses to unpredictable stimuli, diminished the suppression of predictable feedback in V1, and impaired visuomotor skill learning later in life. Our results demonstrate that NMDA receptor-dependent signaling in V1 is critical during the first visuomotor experience for shaping visuomotor integration and enabling visuomotor skill learning.","container-title":"eLife","DOI":"10.7554/eLife.71476","ISSN":"2050-084X","language":"en","page":"e71476","source":"DOI.org (Crossref)","title":"NMDA receptors in visual cortex are necessary for normal visuomotor integration and skill learning","volume":"11","author":[{"family":"Widmer","given":"Felix C"},{"family":"O'Toole","given":"Sean M"},{"family":"Keller","given":"Georg B"}],"issued":{"date-parts":[["2022",2,16]]}}},{"id":5476,"uris":["http://zotero.org/users/9264269/items/T2WUABM9"],"itemData":{"id":5476,"type":"article-journal","abstract":"Visual cognition is finely tuned to the elements in a scene but also relies on contextual integration to improve visual detection and discrimination. This integration is impaired in patients with schizophrenia. Studying impairments in contextual integration may lead to biomarkers of schizophrenia, tools to monitor disease progression, and, in animal models, insight into the underlying neural deficits. We developed a nonhuman primate model to test the hypothesis that hypofunction of the N-methyl d-aspartate receptor (NMDAR) impairs contextual integration. Two male rhesus macaques (Macaca mulatta) were trained to indicate which of two patterns on the screen had the highest contrast. One of these patterns appeared in isolation, and the other was surrounded by a high-contrast pattern. In humans, this high-contrast context is known to lead to an underestimation of contrast. This so-called Chubb illusion is thought to result from surround suppression, a key contextual integration mechanism. To test the involvement of NMDAR in this process, we compared animals' perceptual bias with and without intramuscular injections of a subanesthetic dose of the NMDAR antagonist ketamine. In the absence of ketamine, the animals reported a Chubb illusion - matching reports in healthy humans. Hence, monkeys - just like humans - perform visual contextual integration. This reaffirms the importance of nonhuman primates to help understand visual cognition. Injection of ketamine significantly reduced the strength of the illusion and thus impaired contextual integration. This supports the hypothesis that NMDAR hypofunction plays a causal role in specific behavioral impairments observed in schizophrenia.","container-title":"Journal of Vision","DOI":"10.1167/jov.21.6.9","ISSN":"1534-7362","issue":"6","journalAbbreviation":"J Vis","language":"eng","page":"9","PMID":"34128974","PMCID":"PMC8212430","source":"PubMed","title":"N-methyl d-aspartate receptor hypofunction reduces visual contextual integration","volume":"21","author":[{"family":"Schielke","given":"Alexander"},{"family":"Krekelberg","given":"Bart"}],"issued":{"date-parts":[["2021",6,7]]}}},{"id":5458,"uris":["http://zotero.org/users/9264269/items/7FTCQJ88"],"itemData":{"id":5458,"type":"article-journal","abstract":"Abstract\n            \n              Recent theories of cortical function construe the brain as performing hierarchical Bayesian inference. According to these theories, the precision of prediction errors plays a key role in learning and decision-making, is controlled by dopamine and contributes to the pathogenesis of psychosis. To test these hypotheses, we studied learning with variable outcome-precision in healthy individuals after dopaminergic modulation with a placebo, a dopamine receptor agonist bromocriptine or a dopamine receptor antagonist sulpiride (dopamine study\n              n\n              </w:instrText>
      </w:r>
      <w:r w:rsidR="00546A47" w:rsidRPr="008B0270">
        <w:rPr>
          <w:rFonts w:ascii="Helvetica" w:hAnsi="Helvetica" w:cs="Times New Roman"/>
          <w:sz w:val="20"/>
          <w:szCs w:val="20"/>
        </w:rPr>
        <w:instrText> </w:instrText>
      </w:r>
      <w:r w:rsidR="00546A47" w:rsidRPr="008B0270">
        <w:rPr>
          <w:rFonts w:ascii="Helvetica" w:hAnsi="Helvetica"/>
          <w:sz w:val="20"/>
          <w:szCs w:val="20"/>
        </w:rPr>
        <w:instrText>=</w:instrText>
      </w:r>
      <w:r w:rsidR="00546A47" w:rsidRPr="008B0270">
        <w:rPr>
          <w:rFonts w:ascii="Helvetica" w:hAnsi="Helvetica" w:cs="Times New Roman"/>
          <w:sz w:val="20"/>
          <w:szCs w:val="20"/>
        </w:rPr>
        <w:instrText> </w:instrText>
      </w:r>
      <w:r w:rsidR="00546A47" w:rsidRPr="008B0270">
        <w:rPr>
          <w:rFonts w:ascii="Helvetica" w:hAnsi="Helvetica"/>
          <w:sz w:val="20"/>
          <w:szCs w:val="20"/>
        </w:rPr>
        <w:instrText xml:space="preserve">59) and in patients with early psychosis (psychosis study\n              n\n              </w:instrText>
      </w:r>
      <w:r w:rsidR="00546A47" w:rsidRPr="008B0270">
        <w:rPr>
          <w:rFonts w:ascii="Helvetica" w:hAnsi="Helvetica" w:cs="Times New Roman"/>
          <w:sz w:val="20"/>
          <w:szCs w:val="20"/>
        </w:rPr>
        <w:instrText> </w:instrText>
      </w:r>
      <w:r w:rsidR="00546A47" w:rsidRPr="008B0270">
        <w:rPr>
          <w:rFonts w:ascii="Helvetica" w:hAnsi="Helvetica"/>
          <w:sz w:val="20"/>
          <w:szCs w:val="20"/>
        </w:rPr>
        <w:instrText>=</w:instrText>
      </w:r>
      <w:r w:rsidR="00546A47" w:rsidRPr="008B0270">
        <w:rPr>
          <w:rFonts w:ascii="Helvetica" w:hAnsi="Helvetica" w:cs="Times New Roman"/>
          <w:sz w:val="20"/>
          <w:szCs w:val="20"/>
        </w:rPr>
        <w:instrText> </w:instrText>
      </w:r>
      <w:r w:rsidR="00546A47" w:rsidRPr="008B0270">
        <w:rPr>
          <w:rFonts w:ascii="Helvetica" w:hAnsi="Helvetica"/>
          <w:sz w:val="20"/>
          <w:szCs w:val="20"/>
        </w:rPr>
        <w:instrText xml:space="preserve">74: 20 participants with first-episode psychosis, 30 healthy controls and 24 participants with at-risk mental state attenuated psychotic symptoms). Behavioural computational modelling indicated that precision weighting of prediction errors benefits learning in health and is impaired in psychosis. FMRI revealed coding of unsigned prediction errors, which signal surprise, relative to their precision in superior frontal cortex (replicated across studies, combined\n              n\n              </w:instrText>
      </w:r>
      <w:r w:rsidR="00546A47" w:rsidRPr="008B0270">
        <w:rPr>
          <w:rFonts w:ascii="Helvetica" w:hAnsi="Helvetica" w:cs="Times New Roman"/>
          <w:sz w:val="20"/>
          <w:szCs w:val="20"/>
        </w:rPr>
        <w:instrText> </w:instrText>
      </w:r>
      <w:r w:rsidR="00546A47" w:rsidRPr="008B0270">
        <w:rPr>
          <w:rFonts w:ascii="Helvetica" w:hAnsi="Helvetica"/>
          <w:sz w:val="20"/>
          <w:szCs w:val="20"/>
        </w:rPr>
        <w:instrText>=</w:instrText>
      </w:r>
      <w:r w:rsidR="00546A47" w:rsidRPr="008B0270">
        <w:rPr>
          <w:rFonts w:ascii="Helvetica" w:hAnsi="Helvetica" w:cs="Times New Roman"/>
          <w:sz w:val="20"/>
          <w:szCs w:val="20"/>
        </w:rPr>
        <w:instrText> </w:instrText>
      </w:r>
      <w:r w:rsidR="00546A47" w:rsidRPr="008B0270">
        <w:rPr>
          <w:rFonts w:ascii="Helvetica" w:hAnsi="Helvetica"/>
          <w:sz w:val="20"/>
          <w:szCs w:val="20"/>
        </w:rPr>
        <w:instrText xml:space="preserve">133), which was perturbed by dopaminergic modulation, impaired in psychosis and associated with task performance and schizotypy (schizotypy correlation in 86 healthy volunteers). In contrast to our previous work, we did not observe significant precision-weighting of signed prediction errors, which signal valence, in the midbrain and ventral striatum in the healthy controls (or patients) in the psychosis study. We conclude that healthy people, but not patients with first-episode psychosis, take into account the precision of the environment when updating beliefs. Precision weighting of cortical prediction error signals is a key mechanism through which dopamine modulates inference and contributes to the pathogenesis of psychosis.","container-title":"Molecular Psychiatry","DOI":"10.1038/s41380-020-0803-8","ISSN":"1359-4184, 1476-5578","issue":"9","journalAbbreviation":"Mol Psychiatry","language":"en","page":"5320-5333","source":"DOI.org (Crossref)","title":"Precision weighting of cortical unsigned prediction error signals benefits learning, is mediated by dopamine, and is impaired in psychosis","volume":"26","author":[{"family":"Haarsma","given":"J."},{"family":"Fletcher","given":"P. C."},{"family":"Griffin","given":"J. D."},{"family":"Taverne","given":"H. J."},{"family":"Ziauddeen","given":"H."},{"family":"Spencer","given":"T. J."},{"family":"Miller","given":"C."},{"family":"Katthagen","given":"T."},{"family":"Goodyer","given":"I."},{"family":"Diederen","given":"K. M. J."},{"family":"Murray","given":"G. K."}],"issued":{"date-parts":[["2021",9]]}}}],"schema":"https://github.com/citation-style-language/schema/raw/master/csl-citation.json"} </w:instrText>
      </w:r>
      <w:r w:rsidR="001F1042" w:rsidRPr="008B0270">
        <w:rPr>
          <w:rFonts w:ascii="Helvetica" w:hAnsi="Helvetica"/>
          <w:sz w:val="20"/>
          <w:szCs w:val="20"/>
        </w:rPr>
        <w:fldChar w:fldCharType="separate"/>
      </w:r>
      <w:r w:rsidR="00546A47" w:rsidRPr="008B0270">
        <w:rPr>
          <w:rFonts w:ascii="Helvetica" w:hAnsi="Helvetica" w:cs="Times New Roman"/>
          <w:sz w:val="20"/>
          <w:szCs w:val="20"/>
        </w:rPr>
        <w:t>(45–48)</w:t>
      </w:r>
      <w:r w:rsidR="001F1042" w:rsidRPr="008B0270">
        <w:rPr>
          <w:rFonts w:ascii="Helvetica" w:hAnsi="Helvetica"/>
          <w:sz w:val="20"/>
          <w:szCs w:val="20"/>
        </w:rPr>
        <w:fldChar w:fldCharType="end"/>
      </w:r>
      <w:r w:rsidR="003152EC" w:rsidRPr="008B0270">
        <w:rPr>
          <w:rFonts w:ascii="Helvetica" w:hAnsi="Helvetica"/>
          <w:sz w:val="20"/>
          <w:szCs w:val="20"/>
        </w:rPr>
        <w:t xml:space="preserve">. </w:t>
      </w:r>
      <w:r w:rsidRPr="008B0270">
        <w:rPr>
          <w:rFonts w:ascii="Helvetica" w:hAnsi="Helvetica"/>
          <w:sz w:val="20"/>
          <w:szCs w:val="20"/>
        </w:rPr>
        <w:t>Together, these multimodal results confirm that positive symptoms in SZ do not merely alter what patients learn but disrupt the underlying neural precision of the learning mechanism itself, leading to behavior that is detached from environment.</w:t>
      </w:r>
    </w:p>
    <w:p w14:paraId="33094321" w14:textId="77777777" w:rsidR="00D56E2A" w:rsidRPr="008B0270" w:rsidRDefault="00D56E2A" w:rsidP="00C830CD">
      <w:pPr>
        <w:rPr>
          <w:rFonts w:ascii="Helvetica" w:hAnsi="Helvetica"/>
          <w:sz w:val="20"/>
          <w:szCs w:val="20"/>
        </w:rPr>
      </w:pPr>
    </w:p>
    <w:p w14:paraId="77125842" w14:textId="08436FA8" w:rsidR="00D56E2A" w:rsidRPr="008B0270" w:rsidRDefault="00E1393E" w:rsidP="008B0270">
      <w:pPr>
        <w:pStyle w:val="Duz1"/>
        <w:rPr>
          <w:rFonts w:ascii="Helvetica" w:hAnsi="Helvetica"/>
        </w:rPr>
      </w:pPr>
      <w:r w:rsidRPr="008B0270">
        <w:rPr>
          <w:rFonts w:ascii="Helvetica" w:hAnsi="Helvetica"/>
        </w:rPr>
        <w:t>Limitations</w:t>
      </w:r>
      <w:r w:rsidR="00BF0961" w:rsidRPr="008B0270">
        <w:rPr>
          <w:rFonts w:ascii="Helvetica" w:hAnsi="Helvetica"/>
        </w:rPr>
        <w:t xml:space="preserve"> and Conclusion</w:t>
      </w:r>
    </w:p>
    <w:p w14:paraId="536964B2" w14:textId="1B0FB349" w:rsidR="003E7370" w:rsidRPr="008B0270" w:rsidRDefault="003E7370" w:rsidP="003E7370">
      <w:pPr>
        <w:pStyle w:val="BodyText"/>
        <w:spacing w:line="276" w:lineRule="auto"/>
        <w:rPr>
          <w:rFonts w:ascii="Helvetica" w:hAnsi="Helvetica" w:cs="Arial"/>
          <w:sz w:val="20"/>
          <w:szCs w:val="20"/>
        </w:rPr>
      </w:pPr>
      <w:r w:rsidRPr="008B0270">
        <w:rPr>
          <w:rFonts w:ascii="Helvetica" w:hAnsi="Helvetica" w:cs="Arial"/>
          <w:sz w:val="20"/>
          <w:szCs w:val="20"/>
        </w:rPr>
        <w:t xml:space="preserve">Several limitations of the current study should be noted. First, the relatively small sample size of the clinical cohort </w:t>
      </w:r>
      <w:r w:rsidR="00D91725" w:rsidRPr="008B0270">
        <w:rPr>
          <w:rFonts w:ascii="Helvetica" w:hAnsi="Helvetica" w:cs="Arial"/>
          <w:sz w:val="20"/>
          <w:szCs w:val="20"/>
        </w:rPr>
        <w:t>under</w:t>
      </w:r>
      <w:r w:rsidR="00884AAE" w:rsidRPr="008B0270">
        <w:rPr>
          <w:rFonts w:ascii="Helvetica" w:hAnsi="Helvetica" w:cs="Arial"/>
          <w:sz w:val="20"/>
          <w:szCs w:val="20"/>
        </w:rPr>
        <w:t xml:space="preserve"> fMRI</w:t>
      </w:r>
      <w:r w:rsidR="00E94FC0" w:rsidRPr="008B0270">
        <w:rPr>
          <w:rFonts w:ascii="Helvetica" w:hAnsi="Helvetica" w:cs="Arial"/>
          <w:sz w:val="20"/>
          <w:szCs w:val="20"/>
        </w:rPr>
        <w:t xml:space="preserve"> </w:t>
      </w:r>
      <w:r w:rsidRPr="008B0270">
        <w:rPr>
          <w:rFonts w:ascii="Helvetica" w:hAnsi="Helvetica" w:cs="Arial"/>
          <w:sz w:val="20"/>
          <w:szCs w:val="20"/>
        </w:rPr>
        <w:t>(</w:t>
      </w:r>
      <m:oMath>
        <m:r>
          <w:rPr>
            <w:rFonts w:ascii="Cambria Math" w:hAnsi="Cambria Math" w:cs="Arial"/>
            <w:sz w:val="20"/>
            <w:szCs w:val="20"/>
          </w:rPr>
          <m:t>N</m:t>
        </m:r>
        <m:r>
          <m:rPr>
            <m:sty m:val="p"/>
          </m:rPr>
          <w:rPr>
            <w:rFonts w:ascii="Cambria Math" w:hAnsi="Cambria Math" w:cs="Arial"/>
            <w:sz w:val="20"/>
            <w:szCs w:val="20"/>
          </w:rPr>
          <m:t xml:space="preserve"> = 27</m:t>
        </m:r>
      </m:oMath>
      <w:r w:rsidRPr="008B0270">
        <w:rPr>
          <w:rFonts w:ascii="Helvetica" w:hAnsi="Helvetica" w:cs="Arial"/>
          <w:sz w:val="20"/>
          <w:szCs w:val="20"/>
        </w:rPr>
        <w:t xml:space="preserve">) limits statistical power, particularly for detecting subtle relationships between computational parameters and clinical covariates such as symptom severity and duration of illness. Consequently, the trend-level associations observed should be interpreted with caution. Second, formal model comparison revealed that the choice behavior of most schizophrenia patients was best explained by a zero-parameter Null model rather than the reinforcement learning models. While this is a clinically meaningful finding, it implies that the individual learning rates </w:t>
      </w:r>
      <m:oMath>
        <m:r>
          <m:rPr>
            <m:sty m:val="p"/>
          </m:rPr>
          <w:rPr>
            <w:rFonts w:ascii="Cambria Math" w:hAnsi="Cambria Math" w:cs="Arial"/>
            <w:sz w:val="20"/>
            <w:szCs w:val="20"/>
          </w:rPr>
          <m:t>(</m:t>
        </m:r>
        <m:r>
          <w:rPr>
            <w:rFonts w:ascii="Cambria Math" w:hAnsi="Cambria Math" w:cs="Arial"/>
            <w:sz w:val="20"/>
            <w:szCs w:val="20"/>
          </w:rPr>
          <m:t>α</m:t>
        </m:r>
        <m:r>
          <m:rPr>
            <m:sty m:val="p"/>
          </m:rPr>
          <w:rPr>
            <w:rFonts w:ascii="Cambria Math" w:hAnsi="Cambria Math" w:cs="Arial"/>
            <w:sz w:val="20"/>
            <w:szCs w:val="20"/>
          </w:rPr>
          <m:t>)</m:t>
        </m:r>
      </m:oMath>
      <w:r w:rsidRPr="008B0270">
        <w:rPr>
          <w:rFonts w:ascii="Helvetica" w:hAnsi="Helvetica" w:cs="Arial"/>
          <w:sz w:val="20"/>
          <w:szCs w:val="20"/>
        </w:rPr>
        <w:t xml:space="preserve"> and decision noise </w:t>
      </w:r>
      <m:oMath>
        <m:r>
          <m:rPr>
            <m:sty m:val="p"/>
          </m:rPr>
          <w:rPr>
            <w:rFonts w:ascii="Cambria Math" w:hAnsi="Cambria Math" w:cs="Arial"/>
            <w:sz w:val="20"/>
            <w:szCs w:val="20"/>
          </w:rPr>
          <m:t>(</m:t>
        </m:r>
        <m:r>
          <w:rPr>
            <w:rFonts w:ascii="Cambria Math" w:hAnsi="Cambria Math" w:cs="Arial"/>
            <w:sz w:val="20"/>
            <w:szCs w:val="20"/>
          </w:rPr>
          <m:t>β</m:t>
        </m:r>
        <m:r>
          <m:rPr>
            <m:sty m:val="p"/>
          </m:rPr>
          <w:rPr>
            <w:rFonts w:ascii="Cambria Math" w:hAnsi="Cambria Math" w:cs="Arial"/>
            <w:sz w:val="20"/>
            <w:szCs w:val="20"/>
          </w:rPr>
          <m:t>)</m:t>
        </m:r>
      </m:oMath>
      <w:r w:rsidRPr="008B0270">
        <w:rPr>
          <w:rFonts w:ascii="Helvetica" w:hAnsi="Helvetica" w:cs="Arial"/>
          <w:sz w:val="20"/>
          <w:szCs w:val="20"/>
        </w:rPr>
        <w:t xml:space="preserve"> parameters extracted for these specific patients may be highly noisy and must be interpreted carefully.</w:t>
      </w:r>
    </w:p>
    <w:p w14:paraId="1FA24E52" w14:textId="1AABFF2F" w:rsidR="003E7370" w:rsidRPr="008B0270" w:rsidRDefault="003E7370" w:rsidP="003E7370">
      <w:pPr>
        <w:pStyle w:val="BodyText"/>
        <w:spacing w:line="276" w:lineRule="auto"/>
        <w:rPr>
          <w:rFonts w:ascii="Helvetica" w:hAnsi="Helvetica" w:cs="Arial"/>
          <w:sz w:val="20"/>
          <w:szCs w:val="20"/>
          <w:lang w:val="tr-TR"/>
        </w:rPr>
      </w:pPr>
      <w:r w:rsidRPr="008B0270">
        <w:rPr>
          <w:rFonts w:ascii="Helvetica" w:hAnsi="Helvetica" w:cs="Arial"/>
          <w:sz w:val="20"/>
          <w:szCs w:val="20"/>
        </w:rPr>
        <w:t>Despite these limitations, this study provides clear evidence for a profound disruption in feedback-driven social learning in schizophrenia. By utilizing formal model comparison, we demonstrated that while healthy individuals update their trust using a straightforward prediction-error mechanism, patients with schizophrenia largely fail to adapt their behavior in response to cooperative or exploitative feedback. Crucially, these computational deficits were independent of observable negative symptoms and social cognitive impairments, suggesting a fundamental disruption in the core reinforcement learning circuitry. Future research incorporating neuroimaging with larger, longitudinal cohorts will be essential to map these specific computational deficits onto underlying striatal and prefrontal network dysfunctions.</w:t>
      </w:r>
    </w:p>
    <w:p w14:paraId="6F67AE04" w14:textId="3FB97B8E" w:rsidR="00BA4361" w:rsidRPr="008B0270" w:rsidRDefault="00BA4361" w:rsidP="003E7370">
      <w:pPr>
        <w:pStyle w:val="BodyText"/>
        <w:spacing w:line="276" w:lineRule="auto"/>
        <w:rPr>
          <w:rFonts w:ascii="Helvetica" w:hAnsi="Helvetica" w:cs="Arial"/>
          <w:sz w:val="20"/>
          <w:szCs w:val="20"/>
        </w:rPr>
      </w:pPr>
    </w:p>
    <w:p w14:paraId="784517FC" w14:textId="77777777" w:rsidR="00BA4361" w:rsidRPr="0041453B" w:rsidRDefault="00BA4361" w:rsidP="003E7370">
      <w:pPr>
        <w:pStyle w:val="BodyText"/>
        <w:spacing w:line="276" w:lineRule="auto"/>
        <w:rPr>
          <w:rFonts w:ascii="Helvetica Neue" w:hAnsi="Helvetica Neue" w:cs="Arial"/>
          <w:sz w:val="22"/>
          <w:szCs w:val="22"/>
        </w:rPr>
      </w:pPr>
    </w:p>
    <w:p w14:paraId="2A88AF0F" w14:textId="5CD89AC5" w:rsidR="00BA4361" w:rsidRPr="0041453B" w:rsidRDefault="00BA4361" w:rsidP="00C10722">
      <w:pPr>
        <w:pStyle w:val="Duz1"/>
        <w:rPr>
          <w:b w:val="0"/>
          <w:bCs w:val="0"/>
        </w:rPr>
      </w:pPr>
      <w:r w:rsidRPr="0041453B">
        <w:rPr>
          <w:b w:val="0"/>
          <w:bCs w:val="0"/>
        </w:rPr>
        <w:lastRenderedPageBreak/>
        <w:t>References</w:t>
      </w:r>
    </w:p>
    <w:p w14:paraId="1D1C64A9" w14:textId="77777777" w:rsidR="003D0D39" w:rsidRPr="003D0D39" w:rsidRDefault="00BA4361" w:rsidP="003D0D39">
      <w:pPr>
        <w:pStyle w:val="Bibliography"/>
      </w:pPr>
      <w:r w:rsidRPr="0041453B">
        <w:rPr>
          <w:rFonts w:ascii="Helvetica Neue" w:hAnsi="Helvetica Neue"/>
        </w:rPr>
        <w:fldChar w:fldCharType="begin"/>
      </w:r>
      <w:r w:rsidR="002041B3">
        <w:rPr>
          <w:rFonts w:ascii="Helvetica Neue" w:hAnsi="Helvetica Neue"/>
        </w:rPr>
        <w:instrText xml:space="preserve"> ADDIN ZOTERO_BIBL {"uncited":[],"omitted":[],"custom":[]} CSL_BIBLIOGRAPHY </w:instrText>
      </w:r>
      <w:r w:rsidRPr="0041453B">
        <w:rPr>
          <w:rFonts w:ascii="Helvetica Neue" w:hAnsi="Helvetica Neue"/>
        </w:rPr>
        <w:fldChar w:fldCharType="separate"/>
      </w:r>
      <w:r w:rsidR="003D0D39" w:rsidRPr="003D0D39">
        <w:t xml:space="preserve">1. Li G, Liu Y, Zheng Y, Wu Y, Li D, Liang X, </w:t>
      </w:r>
      <w:r w:rsidR="003D0D39" w:rsidRPr="003D0D39">
        <w:rPr>
          <w:i/>
          <w:iCs/>
        </w:rPr>
        <w:t>et al.</w:t>
      </w:r>
      <w:r w:rsidR="003D0D39" w:rsidRPr="003D0D39">
        <w:t xml:space="preserve"> (2021): Multiscale neural modeling of resting-state fMRI reveals executive-limbic malfunction as a core mechanism in major depressive disorder. </w:t>
      </w:r>
      <w:r w:rsidR="003D0D39" w:rsidRPr="003D0D39">
        <w:rPr>
          <w:i/>
          <w:iCs/>
        </w:rPr>
        <w:t>Neuroimage Clin</w:t>
      </w:r>
      <w:r w:rsidR="003D0D39" w:rsidRPr="003D0D39">
        <w:t xml:space="preserve"> 31: 102758.</w:t>
      </w:r>
    </w:p>
    <w:p w14:paraId="654E638F" w14:textId="77777777" w:rsidR="003D0D39" w:rsidRPr="003D0D39" w:rsidRDefault="003D0D39" w:rsidP="003D0D39">
      <w:pPr>
        <w:pStyle w:val="Bibliography"/>
      </w:pPr>
      <w:r w:rsidRPr="003D0D39">
        <w:t xml:space="preserve">2. Kochunov P, Coyle TR, Rowland LM, Jahanshad N, Thompson PM, Kelly S, </w:t>
      </w:r>
      <w:r w:rsidRPr="003D0D39">
        <w:rPr>
          <w:i/>
          <w:iCs/>
        </w:rPr>
        <w:t>et al.</w:t>
      </w:r>
      <w:r w:rsidRPr="003D0D39">
        <w:t xml:space="preserve"> (2017): Association of White Matter With Core Cognitive Deficits in Patients With Schizophrenia [no. 9]. </w:t>
      </w:r>
      <w:r w:rsidRPr="003D0D39">
        <w:rPr>
          <w:i/>
          <w:iCs/>
        </w:rPr>
        <w:t>JAMA Psychiatry</w:t>
      </w:r>
      <w:r w:rsidRPr="003D0D39">
        <w:t xml:space="preserve"> 74: 958.</w:t>
      </w:r>
    </w:p>
    <w:p w14:paraId="0B4E5FAF" w14:textId="77777777" w:rsidR="003D0D39" w:rsidRPr="003D0D39" w:rsidRDefault="003D0D39" w:rsidP="003D0D39">
      <w:pPr>
        <w:pStyle w:val="Bibliography"/>
      </w:pPr>
      <w:r w:rsidRPr="003D0D39">
        <w:t xml:space="preserve">3. Caqueo-Urízar A, Boyer L, Baumstarck K, Gilman SE (2015): Subjective perceptions of cognitive deficits and their influences on quality of life among patients with schizophrenia [no. 11]. </w:t>
      </w:r>
      <w:r w:rsidRPr="003D0D39">
        <w:rPr>
          <w:i/>
          <w:iCs/>
        </w:rPr>
        <w:t>Qual Life Res</w:t>
      </w:r>
      <w:r w:rsidRPr="003D0D39">
        <w:t xml:space="preserve"> 24: 2753–2760.</w:t>
      </w:r>
    </w:p>
    <w:p w14:paraId="58B98448" w14:textId="77777777" w:rsidR="003D0D39" w:rsidRPr="003D0D39" w:rsidRDefault="003D0D39" w:rsidP="003D0D39">
      <w:pPr>
        <w:pStyle w:val="Bibliography"/>
      </w:pPr>
      <w:r w:rsidRPr="003D0D39">
        <w:t xml:space="preserve">4. Lesh TA, Niendam TA, Minzenberg MJ, Carter CS (2011): Cognitive Control Deficits in Schizophrenia: Mechanisms and Meaning [no. 1]. </w:t>
      </w:r>
      <w:r w:rsidRPr="003D0D39">
        <w:rPr>
          <w:i/>
          <w:iCs/>
        </w:rPr>
        <w:t>Neuropsychopharmacol</w:t>
      </w:r>
      <w:r w:rsidRPr="003D0D39">
        <w:t xml:space="preserve"> 36: 316–338.</w:t>
      </w:r>
    </w:p>
    <w:p w14:paraId="6014917A" w14:textId="77777777" w:rsidR="003D0D39" w:rsidRPr="003D0D39" w:rsidRDefault="003D0D39" w:rsidP="003D0D39">
      <w:pPr>
        <w:pStyle w:val="Bibliography"/>
      </w:pPr>
      <w:r w:rsidRPr="003D0D39">
        <w:t xml:space="preserve">5. Tripathi A, Kar SK, Shukla R (2018): Cognitive Deficits in Schizophrenia: Understanding the Biological Correlates and Remediation Strategies [no. 1]. </w:t>
      </w:r>
      <w:r w:rsidRPr="003D0D39">
        <w:rPr>
          <w:i/>
          <w:iCs/>
        </w:rPr>
        <w:t>Clin Psychopharmacol Neurosci</w:t>
      </w:r>
      <w:r w:rsidRPr="003D0D39">
        <w:t xml:space="preserve"> 16: 7–17.</w:t>
      </w:r>
    </w:p>
    <w:p w14:paraId="101DCE90" w14:textId="77777777" w:rsidR="003D0D39" w:rsidRPr="003D0D39" w:rsidRDefault="003D0D39" w:rsidP="003D0D39">
      <w:pPr>
        <w:pStyle w:val="Bibliography"/>
      </w:pPr>
      <w:r w:rsidRPr="003D0D39">
        <w:t xml:space="preserve">6. Prouteau A, Verdoux H, Briand C, Lesage A, Lalonde P, Nicole L, </w:t>
      </w:r>
      <w:r w:rsidRPr="003D0D39">
        <w:rPr>
          <w:i/>
          <w:iCs/>
        </w:rPr>
        <w:t>et al.</w:t>
      </w:r>
      <w:r w:rsidRPr="003D0D39">
        <w:t xml:space="preserve"> (2005): Cognitive predictors of psychosocial functioning outcome in schizophrenia: A follow-up study of subjects participating in a rehabilitation program. </w:t>
      </w:r>
      <w:r w:rsidRPr="003D0D39">
        <w:rPr>
          <w:i/>
          <w:iCs/>
        </w:rPr>
        <w:t>Schizophrenia Research</w:t>
      </w:r>
      <w:r w:rsidRPr="003D0D39">
        <w:t xml:space="preserve"> 77: 343–353.</w:t>
      </w:r>
    </w:p>
    <w:p w14:paraId="628A2A99" w14:textId="77777777" w:rsidR="003D0D39" w:rsidRPr="003D0D39" w:rsidRDefault="003D0D39" w:rsidP="003D0D39">
      <w:pPr>
        <w:pStyle w:val="Bibliography"/>
      </w:pPr>
      <w:r w:rsidRPr="003D0D39">
        <w:t xml:space="preserve">7. Pascal De Raykeer R, Hoertel N, Blanco C, Lavaud P, Kaladjian A, Blumenstock Y, </w:t>
      </w:r>
      <w:r w:rsidRPr="003D0D39">
        <w:rPr>
          <w:i/>
          <w:iCs/>
        </w:rPr>
        <w:t>et al.</w:t>
      </w:r>
      <w:r w:rsidRPr="003D0D39">
        <w:t xml:space="preserve"> (2019): Effects of depression and cognitive impairment on quality of life in older adults with schizophrenia spectrum disorder: Results from a multicenter study. </w:t>
      </w:r>
      <w:r w:rsidRPr="003D0D39">
        <w:rPr>
          <w:i/>
          <w:iCs/>
        </w:rPr>
        <w:t>Journal of Affective Disorders</w:t>
      </w:r>
      <w:r w:rsidRPr="003D0D39">
        <w:t xml:space="preserve"> 256: 164–175.</w:t>
      </w:r>
    </w:p>
    <w:p w14:paraId="699129F0" w14:textId="77777777" w:rsidR="003D0D39" w:rsidRPr="003D0D39" w:rsidRDefault="003D0D39" w:rsidP="003D0D39">
      <w:pPr>
        <w:pStyle w:val="Bibliography"/>
      </w:pPr>
      <w:r w:rsidRPr="003D0D39">
        <w:t xml:space="preserve">8. Green MF, Leitman DI (2007): Social Cognition in Schizophrenia. </w:t>
      </w:r>
      <w:r w:rsidRPr="003D0D39">
        <w:rPr>
          <w:i/>
          <w:iCs/>
        </w:rPr>
        <w:t>Schizophrenia Bulletin</w:t>
      </w:r>
      <w:r w:rsidRPr="003D0D39">
        <w:t xml:space="preserve"> 34: 670–672.</w:t>
      </w:r>
    </w:p>
    <w:p w14:paraId="0102CDC8" w14:textId="77777777" w:rsidR="003D0D39" w:rsidRPr="003D0D39" w:rsidRDefault="003D0D39" w:rsidP="003D0D39">
      <w:pPr>
        <w:pStyle w:val="Bibliography"/>
      </w:pPr>
      <w:r w:rsidRPr="003D0D39">
        <w:lastRenderedPageBreak/>
        <w:t xml:space="preserve">9. Berg J, Dickhaut J, McCabe K (1995): Trust, Reciprocity, and Social History. </w:t>
      </w:r>
      <w:r w:rsidRPr="003D0D39">
        <w:rPr>
          <w:i/>
          <w:iCs/>
        </w:rPr>
        <w:t>Games and Economic Behavior</w:t>
      </w:r>
      <w:r w:rsidRPr="003D0D39">
        <w:t xml:space="preserve"> 10: 122–142.</w:t>
      </w:r>
    </w:p>
    <w:p w14:paraId="639D3337" w14:textId="77777777" w:rsidR="003D0D39" w:rsidRPr="003D0D39" w:rsidRDefault="003D0D39" w:rsidP="003D0D39">
      <w:pPr>
        <w:pStyle w:val="Bibliography"/>
      </w:pPr>
      <w:r w:rsidRPr="003D0D39">
        <w:t xml:space="preserve">10. Miall RC, Wolpert DM (1996): Forward Models for Physiological Motor Control. </w:t>
      </w:r>
      <w:r w:rsidRPr="003D0D39">
        <w:rPr>
          <w:i/>
          <w:iCs/>
        </w:rPr>
        <w:t>Neural Networks</w:t>
      </w:r>
      <w:r w:rsidRPr="003D0D39">
        <w:t xml:space="preserve"> 9: 1265–1279.</w:t>
      </w:r>
    </w:p>
    <w:p w14:paraId="20C2C2B7" w14:textId="77777777" w:rsidR="003D0D39" w:rsidRPr="003D0D39" w:rsidRDefault="003D0D39" w:rsidP="003D0D39">
      <w:pPr>
        <w:pStyle w:val="Bibliography"/>
      </w:pPr>
      <w:r w:rsidRPr="003D0D39">
        <w:t xml:space="preserve">11. Schultz W, Dickinson A (2000): Neuronal Coding of Prediction Errors. </w:t>
      </w:r>
      <w:r w:rsidRPr="003D0D39">
        <w:rPr>
          <w:i/>
          <w:iCs/>
        </w:rPr>
        <w:t>Annu Rev Neurosci</w:t>
      </w:r>
      <w:r w:rsidRPr="003D0D39">
        <w:t xml:space="preserve"> 23: 473–500.</w:t>
      </w:r>
    </w:p>
    <w:p w14:paraId="6AB49D7A" w14:textId="77777777" w:rsidR="003D0D39" w:rsidRPr="003D0D39" w:rsidRDefault="003D0D39" w:rsidP="003D0D39">
      <w:pPr>
        <w:pStyle w:val="Bibliography"/>
      </w:pPr>
      <w:r w:rsidRPr="003D0D39">
        <w:t xml:space="preserve">12. Friston K (2009): The free-energy principle: a rough guide to the brain? </w:t>
      </w:r>
      <w:r w:rsidRPr="003D0D39">
        <w:rPr>
          <w:i/>
          <w:iCs/>
        </w:rPr>
        <w:t>Trends in Cognitive Sciences</w:t>
      </w:r>
      <w:r w:rsidRPr="003D0D39">
        <w:t xml:space="preserve"> 13: 293–301.</w:t>
      </w:r>
    </w:p>
    <w:p w14:paraId="2E0A3799" w14:textId="77777777" w:rsidR="003D0D39" w:rsidRPr="003D0D39" w:rsidRDefault="003D0D39" w:rsidP="003D0D39">
      <w:pPr>
        <w:pStyle w:val="Bibliography"/>
      </w:pPr>
      <w:r w:rsidRPr="003D0D39">
        <w:t xml:space="preserve">13. Katthagen T, Kaminski J, Heinz A, Buchert R, Schlagenhauf F (2020): Striatal Dopamine and Reward Prediction Error Signaling in Unmedicated Schizophrenia Patients. </w:t>
      </w:r>
      <w:r w:rsidRPr="003D0D39">
        <w:rPr>
          <w:i/>
          <w:iCs/>
        </w:rPr>
        <w:t>Schizophrenia Bulletin</w:t>
      </w:r>
      <w:r w:rsidRPr="003D0D39">
        <w:t xml:space="preserve"> 46: 1535–1546.</w:t>
      </w:r>
    </w:p>
    <w:p w14:paraId="5903C019" w14:textId="77777777" w:rsidR="003D0D39" w:rsidRPr="003D0D39" w:rsidRDefault="003D0D39" w:rsidP="003D0D39">
      <w:pPr>
        <w:pStyle w:val="Bibliography"/>
      </w:pPr>
      <w:r w:rsidRPr="003D0D39">
        <w:t xml:space="preserve">14. Millard SJ, Bearden CE, Karlsgodt KH, Sharpe MJ (2022): The prediction-error hypothesis of schizophrenia: new data point to circuit-specific changes in dopamine activity [no. 3]. </w:t>
      </w:r>
      <w:r w:rsidRPr="003D0D39">
        <w:rPr>
          <w:i/>
          <w:iCs/>
        </w:rPr>
        <w:t>Neuropsychopharmacol</w:t>
      </w:r>
      <w:r w:rsidRPr="003D0D39">
        <w:t xml:space="preserve"> 47: 628–640.</w:t>
      </w:r>
    </w:p>
    <w:p w14:paraId="7FED5EE9" w14:textId="77777777" w:rsidR="003D0D39" w:rsidRPr="003D0D39" w:rsidRDefault="003D0D39" w:rsidP="003D0D39">
      <w:pPr>
        <w:pStyle w:val="Bibliography"/>
      </w:pPr>
      <w:r w:rsidRPr="003D0D39">
        <w:t xml:space="preserve">15. Reinen JM, Van Snellenberg JX, Horga G, Abi-Dargham A, Daw ND, Shohamy D (2016): Motivational Context Modulates Prediction Error Response in Schizophrenia. </w:t>
      </w:r>
      <w:r w:rsidRPr="003D0D39">
        <w:rPr>
          <w:i/>
          <w:iCs/>
        </w:rPr>
        <w:t>SCHBUL</w:t>
      </w:r>
      <w:r w:rsidRPr="003D0D39">
        <w:t xml:space="preserve"> 42: 1467–1475.</w:t>
      </w:r>
    </w:p>
    <w:p w14:paraId="505F1D0F" w14:textId="77777777" w:rsidR="003D0D39" w:rsidRPr="003D0D39" w:rsidRDefault="003D0D39" w:rsidP="003D0D39">
      <w:pPr>
        <w:pStyle w:val="Bibliography"/>
      </w:pPr>
      <w:r w:rsidRPr="003D0D39">
        <w:t xml:space="preserve">16. Diaconescu AO, Mathys C, Weber LAE, Kasper L, Mauer J, Stephan KE (2017): Hierarchical prediction errors in midbrain and septum during social learning. </w:t>
      </w:r>
      <w:r w:rsidRPr="003D0D39">
        <w:rPr>
          <w:i/>
          <w:iCs/>
        </w:rPr>
        <w:t>Social Cognitive and Affective Neuroscience</w:t>
      </w:r>
      <w:r w:rsidRPr="003D0D39">
        <w:t xml:space="preserve"> 12: 618–634.</w:t>
      </w:r>
    </w:p>
    <w:p w14:paraId="6BEAB192" w14:textId="77777777" w:rsidR="003D0D39" w:rsidRPr="003D0D39" w:rsidRDefault="003D0D39" w:rsidP="003D0D39">
      <w:pPr>
        <w:pStyle w:val="Bibliography"/>
      </w:pPr>
      <w:r w:rsidRPr="003D0D39">
        <w:t xml:space="preserve">17. Charlton CE, Hauke DJ, Litvak V, Wobmann M, De Bock R, Andreou C, </w:t>
      </w:r>
      <w:r w:rsidRPr="003D0D39">
        <w:rPr>
          <w:i/>
          <w:iCs/>
        </w:rPr>
        <w:t>et al.</w:t>
      </w:r>
      <w:r w:rsidRPr="003D0D39">
        <w:t xml:space="preserve"> (2026): Neural Dynamics of Social Cognition: A Single</w:t>
      </w:r>
      <w:r w:rsidRPr="003D0D39">
        <w:rPr>
          <w:rFonts w:ascii="Cambria Math" w:hAnsi="Cambria Math" w:cs="Cambria Math"/>
        </w:rPr>
        <w:t>‐</w:t>
      </w:r>
      <w:r w:rsidRPr="003D0D39">
        <w:t xml:space="preserve">Trial Computational Analysis of Learning Under Uncertainty. </w:t>
      </w:r>
      <w:r w:rsidRPr="003D0D39">
        <w:rPr>
          <w:i/>
          <w:iCs/>
        </w:rPr>
        <w:t>Human Brain Mapping</w:t>
      </w:r>
      <w:r w:rsidRPr="003D0D39">
        <w:t xml:space="preserve"> 47: e70433.</w:t>
      </w:r>
    </w:p>
    <w:p w14:paraId="25AB282D" w14:textId="77777777" w:rsidR="003D0D39" w:rsidRPr="003D0D39" w:rsidRDefault="003D0D39" w:rsidP="003D0D39">
      <w:pPr>
        <w:pStyle w:val="Bibliography"/>
      </w:pPr>
      <w:r w:rsidRPr="003D0D39">
        <w:t xml:space="preserve">18. Glimcher PW (2011): Understanding dopamine and reinforcement learning: The dopamine reward prediction error hypothesis. </w:t>
      </w:r>
      <w:r w:rsidRPr="003D0D39">
        <w:rPr>
          <w:i/>
          <w:iCs/>
        </w:rPr>
        <w:t>Proc Natl Acad Sci USA</w:t>
      </w:r>
      <w:r w:rsidRPr="003D0D39">
        <w:t xml:space="preserve"> 108: 15647–15654.</w:t>
      </w:r>
    </w:p>
    <w:p w14:paraId="3230FCD2" w14:textId="77777777" w:rsidR="003D0D39" w:rsidRPr="003D0D39" w:rsidRDefault="003D0D39" w:rsidP="003D0D39">
      <w:pPr>
        <w:pStyle w:val="Bibliography"/>
      </w:pPr>
      <w:r w:rsidRPr="003D0D39">
        <w:lastRenderedPageBreak/>
        <w:t xml:space="preserve">19. Huys QJM, Maia TV, Frank MJ (2016): Computational psychiatry as a bridge from neuroscience to clinical applications. </w:t>
      </w:r>
      <w:r w:rsidRPr="003D0D39">
        <w:rPr>
          <w:i/>
          <w:iCs/>
        </w:rPr>
        <w:t>Nat Neurosci</w:t>
      </w:r>
      <w:r w:rsidRPr="003D0D39">
        <w:t xml:space="preserve"> 19: 404–413.</w:t>
      </w:r>
    </w:p>
    <w:p w14:paraId="1C5FE027" w14:textId="77777777" w:rsidR="003D0D39" w:rsidRPr="003D0D39" w:rsidRDefault="003D0D39" w:rsidP="003D0D39">
      <w:pPr>
        <w:pStyle w:val="Bibliography"/>
      </w:pPr>
      <w:r w:rsidRPr="003D0D39">
        <w:t xml:space="preserve">20. Waltz JA, Gold JM (2015): Motivational Deficits in Schizophrenia and the Representation of Expected Value. In: Simpson EH, Balsam PD, editors. </w:t>
      </w:r>
      <w:r w:rsidRPr="003D0D39">
        <w:rPr>
          <w:i/>
          <w:iCs/>
        </w:rPr>
        <w:t>Behavioral Neuroscience of Motivation</w:t>
      </w:r>
      <w:r w:rsidRPr="003D0D39">
        <w:t>, vol. 27. Cham: Springer International Publishing, pp 375–410.</w:t>
      </w:r>
    </w:p>
    <w:p w14:paraId="2527062C" w14:textId="77777777" w:rsidR="003D0D39" w:rsidRPr="003D0D39" w:rsidRDefault="003D0D39" w:rsidP="003D0D39">
      <w:pPr>
        <w:pStyle w:val="Bibliography"/>
      </w:pPr>
      <w:r w:rsidRPr="003D0D39">
        <w:t xml:space="preserve">21. Gold JM, Waltz JA, Prentice KJ, Morris SE, Heerey EA (2008): Reward processing in schizophrenia: a deficit in the representation of value. </w:t>
      </w:r>
      <w:r w:rsidRPr="003D0D39">
        <w:rPr>
          <w:i/>
          <w:iCs/>
        </w:rPr>
        <w:t>Schizophr Bull</w:t>
      </w:r>
      <w:r w:rsidRPr="003D0D39">
        <w:t xml:space="preserve"> 34: 835–847.</w:t>
      </w:r>
    </w:p>
    <w:p w14:paraId="65247CD4" w14:textId="77777777" w:rsidR="003D0D39" w:rsidRPr="003D0D39" w:rsidRDefault="003D0D39" w:rsidP="003D0D39">
      <w:pPr>
        <w:pStyle w:val="Bibliography"/>
      </w:pPr>
      <w:r w:rsidRPr="003D0D39">
        <w:t xml:space="preserve">22. Gromann PM, Heslenfeld DJ, Fett A-K, Joyce DW, Shergill SS, Krabbendam L (2013): Trust versus paranoia: abnormal response to social reward in psychotic illness [no. 6]. </w:t>
      </w:r>
      <w:r w:rsidRPr="003D0D39">
        <w:rPr>
          <w:i/>
          <w:iCs/>
        </w:rPr>
        <w:t>Brain</w:t>
      </w:r>
      <w:r w:rsidRPr="003D0D39">
        <w:t xml:space="preserve"> 136: 1968–1975.</w:t>
      </w:r>
    </w:p>
    <w:p w14:paraId="43D5CFB8" w14:textId="77777777" w:rsidR="003D0D39" w:rsidRPr="003D0D39" w:rsidRDefault="003D0D39" w:rsidP="003D0D39">
      <w:pPr>
        <w:pStyle w:val="Bibliography"/>
      </w:pPr>
      <w:r w:rsidRPr="003D0D39">
        <w:t xml:space="preserve">23. Howes OD, Murray RM (2014): Schizophrenia: An integrated sociodevelopmental-cognitive model. </w:t>
      </w:r>
      <w:r w:rsidRPr="003D0D39">
        <w:rPr>
          <w:i/>
          <w:iCs/>
        </w:rPr>
        <w:t>The Lancet</w:t>
      </w:r>
      <w:r w:rsidRPr="003D0D39">
        <w:t xml:space="preserve"> 383: 1677–1687.</w:t>
      </w:r>
    </w:p>
    <w:p w14:paraId="7C8EA599" w14:textId="77777777" w:rsidR="003D0D39" w:rsidRPr="003D0D39" w:rsidRDefault="003D0D39" w:rsidP="003D0D39">
      <w:pPr>
        <w:pStyle w:val="Bibliography"/>
      </w:pPr>
      <w:r w:rsidRPr="003D0D39">
        <w:t xml:space="preserve">24. Heinz A, Schlagenhauf F (2010): Dopaminergic Dysfunction in Schizophrenia: Salience Attribution Revisited. </w:t>
      </w:r>
      <w:r w:rsidRPr="003D0D39">
        <w:rPr>
          <w:i/>
          <w:iCs/>
        </w:rPr>
        <w:t>Schizophrenia Bulletin</w:t>
      </w:r>
      <w:r w:rsidRPr="003D0D39">
        <w:t xml:space="preserve"> 36: 472–485.</w:t>
      </w:r>
    </w:p>
    <w:p w14:paraId="0773E408" w14:textId="77777777" w:rsidR="003D0D39" w:rsidRPr="003D0D39" w:rsidRDefault="003D0D39" w:rsidP="003D0D39">
      <w:pPr>
        <w:pStyle w:val="Bibliography"/>
      </w:pPr>
      <w:r w:rsidRPr="003D0D39">
        <w:t xml:space="preserve">25. Kapur S (2003): Psychosis as a State of Aberrant Salience: A Framework Linking Biology, Phenomenology, and Pharmacology in Schizophrenia. </w:t>
      </w:r>
      <w:r w:rsidRPr="003D0D39">
        <w:rPr>
          <w:i/>
          <w:iCs/>
        </w:rPr>
        <w:t>AJP</w:t>
      </w:r>
      <w:r w:rsidRPr="003D0D39">
        <w:t xml:space="preserve"> 160: 13–23.</w:t>
      </w:r>
    </w:p>
    <w:p w14:paraId="03FFCDB8" w14:textId="77777777" w:rsidR="003D0D39" w:rsidRPr="003D0D39" w:rsidRDefault="003D0D39" w:rsidP="003D0D39">
      <w:pPr>
        <w:pStyle w:val="Bibliography"/>
      </w:pPr>
      <w:r w:rsidRPr="003D0D39">
        <w:t xml:space="preserve">26. Maia TV, Frank MJ (2011): From reinforcement learning models to psychiatric and neurological disorders. </w:t>
      </w:r>
      <w:r w:rsidRPr="003D0D39">
        <w:rPr>
          <w:i/>
          <w:iCs/>
        </w:rPr>
        <w:t>Nat Neurosci</w:t>
      </w:r>
      <w:r w:rsidRPr="003D0D39">
        <w:t xml:space="preserve"> 14: 154–162.</w:t>
      </w:r>
    </w:p>
    <w:p w14:paraId="0783B1E9" w14:textId="77777777" w:rsidR="003D0D39" w:rsidRPr="003D0D39" w:rsidRDefault="003D0D39" w:rsidP="003D0D39">
      <w:pPr>
        <w:pStyle w:val="Bibliography"/>
      </w:pPr>
      <w:r w:rsidRPr="003D0D39">
        <w:t xml:space="preserve">27. Corlett PR, Murray GK, Honey GD, Aitken MRF, Shanks DR, Robbins TW, </w:t>
      </w:r>
      <w:r w:rsidRPr="003D0D39">
        <w:rPr>
          <w:i/>
          <w:iCs/>
        </w:rPr>
        <w:t>et al.</w:t>
      </w:r>
      <w:r w:rsidRPr="003D0D39">
        <w:t xml:space="preserve"> (2007): Disrupted prediction-error signal in psychosis: evidence for an associative account of delusions. </w:t>
      </w:r>
      <w:r w:rsidRPr="003D0D39">
        <w:rPr>
          <w:i/>
          <w:iCs/>
        </w:rPr>
        <w:t>Brain</w:t>
      </w:r>
      <w:r w:rsidRPr="003D0D39">
        <w:t xml:space="preserve"> 130: 2387–2400.</w:t>
      </w:r>
    </w:p>
    <w:p w14:paraId="624CF59C" w14:textId="77777777" w:rsidR="003D0D39" w:rsidRPr="003D0D39" w:rsidRDefault="003D0D39" w:rsidP="003D0D39">
      <w:pPr>
        <w:pStyle w:val="Bibliography"/>
      </w:pPr>
      <w:r w:rsidRPr="003D0D39">
        <w:t xml:space="preserve">28. Griffiths O, Langdon R, Le Pelley ME, Coltheart M (2014): Delusions and prediction error: re-examining the behavioural evidence for disrupted error signalling in delusion formation. </w:t>
      </w:r>
      <w:r w:rsidRPr="003D0D39">
        <w:rPr>
          <w:i/>
          <w:iCs/>
        </w:rPr>
        <w:t>Cognitive Neuropsychiatry</w:t>
      </w:r>
      <w:r w:rsidRPr="003D0D39">
        <w:t xml:space="preserve"> 19: 439–467.</w:t>
      </w:r>
    </w:p>
    <w:p w14:paraId="3D7743D4" w14:textId="77777777" w:rsidR="003D0D39" w:rsidRPr="003D0D39" w:rsidRDefault="003D0D39" w:rsidP="003D0D39">
      <w:pPr>
        <w:pStyle w:val="Bibliography"/>
      </w:pPr>
      <w:r w:rsidRPr="003D0D39">
        <w:lastRenderedPageBreak/>
        <w:t xml:space="preserve">29. Dima D, Roiser JP, Dietrich DE, Bonnemann C, Lanfermann H, Emrich HM, Dillo W (2009): Understanding why patients with schizophrenia do not perceive the hollow-mask illusion using dynamic causal modelling. </w:t>
      </w:r>
      <w:r w:rsidRPr="003D0D39">
        <w:rPr>
          <w:i/>
          <w:iCs/>
        </w:rPr>
        <w:t>NeuroImage</w:t>
      </w:r>
      <w:r w:rsidRPr="003D0D39">
        <w:t xml:space="preserve"> 46: 1180–1186.</w:t>
      </w:r>
    </w:p>
    <w:p w14:paraId="2371F3E9" w14:textId="77777777" w:rsidR="003D0D39" w:rsidRPr="003D0D39" w:rsidRDefault="003D0D39" w:rsidP="003D0D39">
      <w:pPr>
        <w:pStyle w:val="Bibliography"/>
      </w:pPr>
      <w:r w:rsidRPr="003D0D39">
        <w:t xml:space="preserve">30. Claassen C, Langdon R, Brüne M (2020): Recognition of Social Rule Violation in “Deficit Syndrome” Schizophrenia: A Study Using Economic Games. </w:t>
      </w:r>
      <w:r w:rsidRPr="003D0D39">
        <w:rPr>
          <w:i/>
          <w:iCs/>
        </w:rPr>
        <w:t>Front Psychiatry</w:t>
      </w:r>
      <w:r w:rsidRPr="003D0D39">
        <w:t xml:space="preserve"> 11: 835.</w:t>
      </w:r>
    </w:p>
    <w:p w14:paraId="65A6E797" w14:textId="77777777" w:rsidR="003D0D39" w:rsidRPr="003D0D39" w:rsidRDefault="003D0D39" w:rsidP="003D0D39">
      <w:pPr>
        <w:pStyle w:val="Bibliography"/>
      </w:pPr>
      <w:r w:rsidRPr="003D0D39">
        <w:t xml:space="preserve">31. Adams RA, Stephan KE, Brown HR, Frith CD, Friston KJ (2013): The Computational Anatomy of Psychosis. </w:t>
      </w:r>
      <w:r w:rsidRPr="003D0D39">
        <w:rPr>
          <w:i/>
          <w:iCs/>
        </w:rPr>
        <w:t>Frontiers in Psychiatry</w:t>
      </w:r>
      <w:r w:rsidRPr="003D0D39">
        <w:t xml:space="preserve"> 4: 1–26.</w:t>
      </w:r>
    </w:p>
    <w:p w14:paraId="4F0F83AA" w14:textId="77777777" w:rsidR="003D0D39" w:rsidRPr="003D0D39" w:rsidRDefault="003D0D39" w:rsidP="003D0D39">
      <w:pPr>
        <w:pStyle w:val="Bibliography"/>
      </w:pPr>
      <w:r w:rsidRPr="003D0D39">
        <w:t xml:space="preserve">32. Alós-Ferrer C, Farolfi F (2019): Trust Games and Beyond. </w:t>
      </w:r>
      <w:r w:rsidRPr="003D0D39">
        <w:rPr>
          <w:i/>
          <w:iCs/>
        </w:rPr>
        <w:t>Front Neurosci</w:t>
      </w:r>
      <w:r w:rsidRPr="003D0D39">
        <w:t xml:space="preserve"> 13: 887.</w:t>
      </w:r>
    </w:p>
    <w:p w14:paraId="213AFB9C" w14:textId="77777777" w:rsidR="003D0D39" w:rsidRPr="003D0D39" w:rsidRDefault="003D0D39" w:rsidP="003D0D39">
      <w:pPr>
        <w:pStyle w:val="Bibliography"/>
      </w:pPr>
      <w:r w:rsidRPr="003D0D39">
        <w:t xml:space="preserve">33. Fromm SP, Wieland L, Klettke A, Nassar MR, Katthagen T, Markett S, </w:t>
      </w:r>
      <w:r w:rsidRPr="003D0D39">
        <w:rPr>
          <w:i/>
          <w:iCs/>
        </w:rPr>
        <w:t>et al.</w:t>
      </w:r>
      <w:r w:rsidRPr="003D0D39">
        <w:t xml:space="preserve"> (2023): Computational mechanisms of belief updating in relation to psychotic-like experiences. </w:t>
      </w:r>
      <w:r w:rsidRPr="003D0D39">
        <w:rPr>
          <w:i/>
          <w:iCs/>
        </w:rPr>
        <w:t>Front Psychiatry</w:t>
      </w:r>
      <w:r w:rsidRPr="003D0D39">
        <w:t xml:space="preserve"> 14: 1170168.</w:t>
      </w:r>
    </w:p>
    <w:p w14:paraId="6ED343E5" w14:textId="77777777" w:rsidR="003D0D39" w:rsidRPr="003D0D39" w:rsidRDefault="003D0D39" w:rsidP="003D0D39">
      <w:pPr>
        <w:pStyle w:val="Bibliography"/>
      </w:pPr>
      <w:r w:rsidRPr="003D0D39">
        <w:t xml:space="preserve">34. Strauss GP, Robinson BM, Waltz JA, Frank MJ, Kasanova Z, Herbener ES, Gold JM (2011): Patients With Schizophrenia Demonstrate Inconsistent Preference Judgments for Affective and Nonaffective Stimuli. </w:t>
      </w:r>
      <w:r w:rsidRPr="003D0D39">
        <w:rPr>
          <w:i/>
          <w:iCs/>
        </w:rPr>
        <w:t>Schizophrenia Bulletin</w:t>
      </w:r>
      <w:r w:rsidRPr="003D0D39">
        <w:t xml:space="preserve"> 37: 1295–1304.</w:t>
      </w:r>
    </w:p>
    <w:p w14:paraId="39E0992F" w14:textId="77777777" w:rsidR="003D0D39" w:rsidRPr="003D0D39" w:rsidRDefault="003D0D39" w:rsidP="003D0D39">
      <w:pPr>
        <w:pStyle w:val="Bibliography"/>
      </w:pPr>
      <w:r w:rsidRPr="003D0D39">
        <w:t xml:space="preserve">35. Lechner S, Hsieh MH, Lin Y-T, Liu C-M, Chen I-F, Liu C-C, </w:t>
      </w:r>
      <w:r w:rsidRPr="003D0D39">
        <w:rPr>
          <w:i/>
          <w:iCs/>
        </w:rPr>
        <w:t>et al.</w:t>
      </w:r>
      <w:r w:rsidRPr="003D0D39">
        <w:t xml:space="preserve"> (2025): Temporal imprecision and its dynamics in schizophrenia. </w:t>
      </w:r>
      <w:r w:rsidRPr="003D0D39">
        <w:rPr>
          <w:i/>
          <w:iCs/>
        </w:rPr>
        <w:t>Transl Psychiatry</w:t>
      </w:r>
      <w:r w:rsidRPr="003D0D39">
        <w:t xml:space="preserve"> 15: 279.</w:t>
      </w:r>
    </w:p>
    <w:p w14:paraId="7861769D" w14:textId="77777777" w:rsidR="003D0D39" w:rsidRPr="003D0D39" w:rsidRDefault="003D0D39" w:rsidP="003D0D39">
      <w:pPr>
        <w:pStyle w:val="Bibliography"/>
      </w:pPr>
      <w:r w:rsidRPr="003D0D39">
        <w:t xml:space="preserve">36. Yaple ZA, Tolomeo S, Yu R (2021): Abnormal prediction error processing in schizophrenia and depression [no. 11]. </w:t>
      </w:r>
      <w:r w:rsidRPr="003D0D39">
        <w:rPr>
          <w:i/>
          <w:iCs/>
        </w:rPr>
        <w:t>Hum Brain Mapp</w:t>
      </w:r>
      <w:r w:rsidRPr="003D0D39">
        <w:t xml:space="preserve"> 42: 3547–3560.</w:t>
      </w:r>
    </w:p>
    <w:p w14:paraId="4E105D5F" w14:textId="77777777" w:rsidR="003D0D39" w:rsidRPr="003D0D39" w:rsidRDefault="003D0D39" w:rsidP="003D0D39">
      <w:pPr>
        <w:pStyle w:val="Bibliography"/>
      </w:pPr>
      <w:r w:rsidRPr="003D0D39">
        <w:t xml:space="preserve">37. Hauke DJ, Wobmann M, Andreou C, Mackintosh AJ, De Bock R, Karvelis P, </w:t>
      </w:r>
      <w:r w:rsidRPr="003D0D39">
        <w:rPr>
          <w:i/>
          <w:iCs/>
        </w:rPr>
        <w:t>et al.</w:t>
      </w:r>
      <w:r w:rsidRPr="003D0D39">
        <w:t xml:space="preserve"> (2024): Altered Perception of Environmental Volatility During Social Learning in Emerging Psychosis. </w:t>
      </w:r>
      <w:r w:rsidRPr="003D0D39">
        <w:rPr>
          <w:i/>
          <w:iCs/>
        </w:rPr>
        <w:t>Computational Psychiatry</w:t>
      </w:r>
      <w:r w:rsidRPr="003D0D39">
        <w:t xml:space="preserve"> 8: 1–22.</w:t>
      </w:r>
    </w:p>
    <w:p w14:paraId="64DAD48F" w14:textId="77777777" w:rsidR="003D0D39" w:rsidRPr="003D0D39" w:rsidRDefault="003D0D39" w:rsidP="003D0D39">
      <w:pPr>
        <w:pStyle w:val="Bibliography"/>
      </w:pPr>
      <w:r w:rsidRPr="003D0D39">
        <w:t xml:space="preserve">38. Horga G, Schatz KC, Abi-Dargham A, Peterson BS (2014): Deficits in Predictive Coding Underlie Hallucinations in Schizophrenia. </w:t>
      </w:r>
      <w:r w:rsidRPr="003D0D39">
        <w:rPr>
          <w:i/>
          <w:iCs/>
        </w:rPr>
        <w:t>Journal of Neuroscience</w:t>
      </w:r>
      <w:r w:rsidRPr="003D0D39">
        <w:t xml:space="preserve"> 34: 8072–8082.</w:t>
      </w:r>
    </w:p>
    <w:p w14:paraId="3A1963FE" w14:textId="77777777" w:rsidR="003D0D39" w:rsidRPr="003D0D39" w:rsidRDefault="003D0D39" w:rsidP="003D0D39">
      <w:pPr>
        <w:pStyle w:val="Bibliography"/>
      </w:pPr>
      <w:r w:rsidRPr="003D0D39">
        <w:t xml:space="preserve">39. Sterzer P, Adams RA, Fletcher P, Frith C, Lawrie SM, Muckli L, </w:t>
      </w:r>
      <w:r w:rsidRPr="003D0D39">
        <w:rPr>
          <w:i/>
          <w:iCs/>
        </w:rPr>
        <w:t>et al.</w:t>
      </w:r>
      <w:r w:rsidRPr="003D0D39">
        <w:t xml:space="preserve"> (2018, November): The Predictive Coding Account of Psychosis. </w:t>
      </w:r>
      <w:r w:rsidRPr="003D0D39">
        <w:rPr>
          <w:i/>
          <w:iCs/>
        </w:rPr>
        <w:t>Biological Psychiatry</w:t>
      </w:r>
      <w:r w:rsidRPr="003D0D39">
        <w:t>, vol. 84. Elsevier USA, pp 634–643.</w:t>
      </w:r>
    </w:p>
    <w:p w14:paraId="7B1DCC47" w14:textId="77777777" w:rsidR="003D0D39" w:rsidRPr="003D0D39" w:rsidRDefault="003D0D39" w:rsidP="003D0D39">
      <w:pPr>
        <w:pStyle w:val="Bibliography"/>
      </w:pPr>
      <w:r w:rsidRPr="003D0D39">
        <w:lastRenderedPageBreak/>
        <w:t xml:space="preserve">40. Shaw AD, Sumner RL, Berndt LCS (2026): Predictive coding and neurocomputational psychiatry: a mechanistic framework for understanding mental disorders. </w:t>
      </w:r>
      <w:r w:rsidRPr="003D0D39">
        <w:rPr>
          <w:i/>
          <w:iCs/>
        </w:rPr>
        <w:t>Front Psychiatry</w:t>
      </w:r>
      <w:r w:rsidRPr="003D0D39">
        <w:t xml:space="preserve"> 16: 1713833.</w:t>
      </w:r>
    </w:p>
    <w:p w14:paraId="4132CB29" w14:textId="77777777" w:rsidR="003D0D39" w:rsidRPr="003D0D39" w:rsidRDefault="003D0D39" w:rsidP="003D0D39">
      <w:pPr>
        <w:pStyle w:val="Bibliography"/>
      </w:pPr>
      <w:r w:rsidRPr="003D0D39">
        <w:t xml:space="preserve">41. Wengler K, Goldberg AT, Chahine G, Horga G (2020): Distinct hierarchical alterations of intrinsic neural timescales account for different manifestations of psychosis. </w:t>
      </w:r>
      <w:r w:rsidRPr="003D0D39">
        <w:rPr>
          <w:i/>
          <w:iCs/>
        </w:rPr>
        <w:t>eLife</w:t>
      </w:r>
      <w:r w:rsidRPr="003D0D39">
        <w:t xml:space="preserve"> 9: e56151.</w:t>
      </w:r>
    </w:p>
    <w:p w14:paraId="54A8B80A" w14:textId="77777777" w:rsidR="003D0D39" w:rsidRPr="003D0D39" w:rsidRDefault="003D0D39" w:rsidP="003D0D39">
      <w:pPr>
        <w:pStyle w:val="Bibliography"/>
      </w:pPr>
      <w:r w:rsidRPr="003D0D39">
        <w:t xml:space="preserve">42. Geljic M, Mitchell M, Stevens K-A, Holbrook H, Darke H, Goodbourn P, </w:t>
      </w:r>
      <w:r w:rsidRPr="003D0D39">
        <w:rPr>
          <w:i/>
          <w:iCs/>
        </w:rPr>
        <w:t>et al.</w:t>
      </w:r>
      <w:r w:rsidRPr="003D0D39">
        <w:t xml:space="preserve"> (2025): Visual integration deficits associated with psychosis are independent of diagnosis. </w:t>
      </w:r>
      <w:r w:rsidRPr="003D0D39">
        <w:rPr>
          <w:i/>
          <w:iCs/>
        </w:rPr>
        <w:t>Schizophr</w:t>
      </w:r>
      <w:r w:rsidRPr="003D0D39">
        <w:t xml:space="preserve"> 11: 58.</w:t>
      </w:r>
    </w:p>
    <w:p w14:paraId="67A930CC" w14:textId="77777777" w:rsidR="003D0D39" w:rsidRPr="003D0D39" w:rsidRDefault="003D0D39" w:rsidP="003D0D39">
      <w:pPr>
        <w:pStyle w:val="Bibliography"/>
      </w:pPr>
      <w:r w:rsidRPr="003D0D39">
        <w:t xml:space="preserve">43. Haarsma J, Knolle F, Griffin JD, Taverne H, Mada M, Goodyer IM, </w:t>
      </w:r>
      <w:r w:rsidRPr="003D0D39">
        <w:rPr>
          <w:i/>
          <w:iCs/>
        </w:rPr>
        <w:t>et al.</w:t>
      </w:r>
      <w:r w:rsidRPr="003D0D39">
        <w:t xml:space="preserve"> (2020): Influence of prior beliefs on perception in early psychosis: Effects of illness stage and hierarchical level of belief. </w:t>
      </w:r>
      <w:r w:rsidRPr="003D0D39">
        <w:rPr>
          <w:i/>
          <w:iCs/>
        </w:rPr>
        <w:t>Journal of Abnormal Psychology</w:t>
      </w:r>
      <w:r w:rsidRPr="003D0D39">
        <w:t xml:space="preserve"> 129: 581–598.</w:t>
      </w:r>
    </w:p>
    <w:p w14:paraId="60C1E1CB" w14:textId="77777777" w:rsidR="003D0D39" w:rsidRPr="003D0D39" w:rsidRDefault="003D0D39" w:rsidP="003D0D39">
      <w:pPr>
        <w:pStyle w:val="Bibliography"/>
      </w:pPr>
      <w:r w:rsidRPr="003D0D39">
        <w:t xml:space="preserve">44. Uscătescu LC, Said-Yürekli S, Kronbichler L, Stelzig-Schöler R, Pearce B-G, Reich LA, </w:t>
      </w:r>
      <w:r w:rsidRPr="003D0D39">
        <w:rPr>
          <w:i/>
          <w:iCs/>
        </w:rPr>
        <w:t>et al.</w:t>
      </w:r>
      <w:r w:rsidRPr="003D0D39">
        <w:t xml:space="preserve"> (2021): Reduced intrinsic neural timescales in schizophrenia along posterior parietal and occipital areas. </w:t>
      </w:r>
      <w:r w:rsidRPr="003D0D39">
        <w:rPr>
          <w:i/>
          <w:iCs/>
        </w:rPr>
        <w:t>npj Schizophr</w:t>
      </w:r>
      <w:r w:rsidRPr="003D0D39">
        <w:t xml:space="preserve"> 7: 55.</w:t>
      </w:r>
    </w:p>
    <w:p w14:paraId="090000DE" w14:textId="77777777" w:rsidR="003D0D39" w:rsidRPr="003D0D39" w:rsidRDefault="003D0D39" w:rsidP="003D0D39">
      <w:pPr>
        <w:pStyle w:val="Bibliography"/>
      </w:pPr>
      <w:r w:rsidRPr="003D0D39">
        <w:t xml:space="preserve">45. Nakazawa K, Sapkota K (2020): The origin of NMDA receptor hypofunction in schizophrenia. </w:t>
      </w:r>
      <w:r w:rsidRPr="003D0D39">
        <w:rPr>
          <w:i/>
          <w:iCs/>
        </w:rPr>
        <w:t>Pharmacol Ther</w:t>
      </w:r>
      <w:r w:rsidRPr="003D0D39">
        <w:t xml:space="preserve"> 205: 107426.</w:t>
      </w:r>
    </w:p>
    <w:p w14:paraId="602DE923" w14:textId="77777777" w:rsidR="003D0D39" w:rsidRPr="003D0D39" w:rsidRDefault="003D0D39" w:rsidP="003D0D39">
      <w:pPr>
        <w:pStyle w:val="Bibliography"/>
      </w:pPr>
      <w:r w:rsidRPr="003D0D39">
        <w:t xml:space="preserve">46. Widmer FC, O’Toole SM, Keller GB (2022): NMDA receptors in visual cortex are necessary for normal visuomotor integration and skill learning. </w:t>
      </w:r>
      <w:r w:rsidRPr="003D0D39">
        <w:rPr>
          <w:i/>
          <w:iCs/>
        </w:rPr>
        <w:t>eLife</w:t>
      </w:r>
      <w:r w:rsidRPr="003D0D39">
        <w:t xml:space="preserve"> 11: e71476.</w:t>
      </w:r>
    </w:p>
    <w:p w14:paraId="5C55CF29" w14:textId="77777777" w:rsidR="003D0D39" w:rsidRPr="003D0D39" w:rsidRDefault="003D0D39" w:rsidP="003D0D39">
      <w:pPr>
        <w:pStyle w:val="Bibliography"/>
      </w:pPr>
      <w:r w:rsidRPr="003D0D39">
        <w:t xml:space="preserve">47. Schielke A, Krekelberg B (2021): N-methyl d-aspartate receptor hypofunction reduces visual contextual integration. </w:t>
      </w:r>
      <w:r w:rsidRPr="003D0D39">
        <w:rPr>
          <w:i/>
          <w:iCs/>
        </w:rPr>
        <w:t>J Vis</w:t>
      </w:r>
      <w:r w:rsidRPr="003D0D39">
        <w:t xml:space="preserve"> 21: 9.</w:t>
      </w:r>
    </w:p>
    <w:p w14:paraId="62F943DD" w14:textId="77777777" w:rsidR="003D0D39" w:rsidRPr="003D0D39" w:rsidRDefault="003D0D39" w:rsidP="003D0D39">
      <w:pPr>
        <w:pStyle w:val="Bibliography"/>
      </w:pPr>
      <w:r w:rsidRPr="003D0D39">
        <w:t xml:space="preserve">48. Haarsma J, Fletcher PC, Griffin JD, Taverne HJ, Ziauddeen H, Spencer TJ, </w:t>
      </w:r>
      <w:r w:rsidRPr="003D0D39">
        <w:rPr>
          <w:i/>
          <w:iCs/>
        </w:rPr>
        <w:t>et al.</w:t>
      </w:r>
      <w:r w:rsidRPr="003D0D39">
        <w:t xml:space="preserve"> (2021): Precision weighting of cortical unsigned prediction error signals benefits learning, is mediated by dopamine, and is impaired in psychosis. </w:t>
      </w:r>
      <w:r w:rsidRPr="003D0D39">
        <w:rPr>
          <w:i/>
          <w:iCs/>
        </w:rPr>
        <w:t>Mol Psychiatry</w:t>
      </w:r>
      <w:r w:rsidRPr="003D0D39">
        <w:t xml:space="preserve"> 26: 5320–5333.</w:t>
      </w:r>
    </w:p>
    <w:p w14:paraId="7AB3E50F" w14:textId="5FFDE557" w:rsidR="00BA4361" w:rsidRPr="0041453B" w:rsidRDefault="00BA4361" w:rsidP="007B7348">
      <w:pPr>
        <w:pStyle w:val="Bibliography"/>
        <w:rPr>
          <w:rFonts w:ascii="Helvetica Neue" w:hAnsi="Helvetica Neue"/>
        </w:rPr>
      </w:pPr>
      <w:r w:rsidRPr="0041453B">
        <w:rPr>
          <w:rFonts w:ascii="Helvetica Neue" w:hAnsi="Helvetica Neue"/>
        </w:rPr>
        <w:fldChar w:fldCharType="end"/>
      </w:r>
    </w:p>
    <w:sectPr w:rsidR="00BA4361" w:rsidRPr="0041453B" w:rsidSect="00A20F2D">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aan Keskin" w:date="2026-04-28T21:39:00Z" w:initials="KK">
    <w:p w14:paraId="6BB95F09" w14:textId="77777777" w:rsidR="008E7A4F" w:rsidRDefault="008E7A4F" w:rsidP="008E7A4F">
      <w:pPr>
        <w:pStyle w:val="CommentText"/>
      </w:pPr>
      <w:r>
        <w:rPr>
          <w:rStyle w:val="CommentReference"/>
        </w:rPr>
        <w:annotationRef/>
      </w:r>
      <w:r>
        <w:rPr>
          <w:lang w:val="tr-TR"/>
        </w:rPr>
        <w:t xml:space="preserve">Hocam daha önce bu aşamada kovaryat ekleyince PE’nin beyinde yaşla ve cinsiyetle değiştiğine dair bir kanıt sormuşlardı. Böyle bir fark olacağını önkabul olarak düşünmediğimdem, ben de bu aşamada eklememiştim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B95F0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37AB7EE" w16cex:dateUtc="2026-04-28T18: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B95F09" w16cid:durableId="437AB7E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w:altName w:val="Sylfaen"/>
    <w:charset w:val="00"/>
    <w:family w:val="auto"/>
    <w:pitch w:val="variable"/>
    <w:sig w:usb0="E50002FF" w:usb1="500079DB" w:usb2="00000010" w:usb3="00000000" w:csb0="00000001" w:csb1="00000000"/>
  </w:font>
  <w:font w:name="Helvetica">
    <w:panose1 w:val="020B0604020202020204"/>
    <w:charset w:val="00"/>
    <w:family w:val="auto"/>
    <w:pitch w:val="variable"/>
    <w:sig w:usb0="E00002FF" w:usb1="5000785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ylfaen">
    <w:panose1 w:val="010A0502050306030303"/>
    <w:charset w:val="00"/>
    <w:family w:val="roman"/>
    <w:pitch w:val="variable"/>
    <w:sig w:usb0="04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257CA"/>
    <w:multiLevelType w:val="multilevel"/>
    <w:tmpl w:val="485E948C"/>
    <w:lvl w:ilvl="0">
      <w:start w:val="1"/>
      <w:numFmt w:val="decimal"/>
      <w:lvlText w:val="%1."/>
      <w:lvlJc w:val="left"/>
      <w:pPr>
        <w:ind w:left="720" w:hanging="360"/>
      </w:pPr>
      <w:rPr>
        <w:rFonts w:hint="default"/>
      </w:rPr>
    </w:lvl>
    <w:lvl w:ilvl="1">
      <w:start w:val="4"/>
      <w:numFmt w:val="decimal"/>
      <w:isLgl/>
      <w:lvlText w:val="%1.%2"/>
      <w:lvlJc w:val="left"/>
      <w:pPr>
        <w:ind w:left="920" w:hanging="5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2D6D792C"/>
    <w:multiLevelType w:val="multilevel"/>
    <w:tmpl w:val="54D84B1A"/>
    <w:lvl w:ilvl="0">
      <w:start w:val="1"/>
      <w:numFmt w:val="decimal"/>
      <w:lvlText w:val="%1."/>
      <w:lvlJc w:val="left"/>
      <w:pPr>
        <w:ind w:left="360" w:hanging="360"/>
      </w:pPr>
      <w:rPr>
        <w:rFonts w:hint="default"/>
      </w:rPr>
    </w:lvl>
    <w:lvl w:ilvl="1">
      <w:start w:val="4"/>
      <w:numFmt w:val="decimal"/>
      <w:isLgl/>
      <w:lvlText w:val="%1.%2"/>
      <w:lvlJc w:val="left"/>
      <w:pPr>
        <w:ind w:left="920" w:hanging="56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3AED557A"/>
    <w:multiLevelType w:val="hybridMultilevel"/>
    <w:tmpl w:val="3A6C9F8C"/>
    <w:lvl w:ilvl="0" w:tplc="710EC814">
      <w:start w:val="1"/>
      <w:numFmt w:val="decimal"/>
      <w:lvlText w:val="%1."/>
      <w:lvlJc w:val="left"/>
      <w:pPr>
        <w:ind w:left="800" w:hanging="4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8245096">
    <w:abstractNumId w:val="2"/>
  </w:num>
  <w:num w:numId="2" w16cid:durableId="793332103">
    <w:abstractNumId w:val="0"/>
  </w:num>
  <w:num w:numId="3" w16cid:durableId="65695728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an Keskin">
    <w15:presenceInfo w15:providerId="Windows Live" w15:userId="c9860f92a834cae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2E8"/>
    <w:rsid w:val="00000263"/>
    <w:rsid w:val="000125B0"/>
    <w:rsid w:val="00022B94"/>
    <w:rsid w:val="000343B2"/>
    <w:rsid w:val="0003582B"/>
    <w:rsid w:val="00035E4B"/>
    <w:rsid w:val="00043C24"/>
    <w:rsid w:val="0007433C"/>
    <w:rsid w:val="00084A79"/>
    <w:rsid w:val="000A5A2B"/>
    <w:rsid w:val="000A7586"/>
    <w:rsid w:val="000B0BB1"/>
    <w:rsid w:val="000D2339"/>
    <w:rsid w:val="000D2DF9"/>
    <w:rsid w:val="000D76FE"/>
    <w:rsid w:val="000E2057"/>
    <w:rsid w:val="000E70CB"/>
    <w:rsid w:val="000E77ED"/>
    <w:rsid w:val="000F2878"/>
    <w:rsid w:val="0011090A"/>
    <w:rsid w:val="00121F92"/>
    <w:rsid w:val="001406D6"/>
    <w:rsid w:val="001417A3"/>
    <w:rsid w:val="00147DFE"/>
    <w:rsid w:val="00154990"/>
    <w:rsid w:val="00155D8D"/>
    <w:rsid w:val="001618A0"/>
    <w:rsid w:val="00161D69"/>
    <w:rsid w:val="0016227A"/>
    <w:rsid w:val="00175B9A"/>
    <w:rsid w:val="0018359F"/>
    <w:rsid w:val="001851A5"/>
    <w:rsid w:val="00187A72"/>
    <w:rsid w:val="001B2F5F"/>
    <w:rsid w:val="001C53A0"/>
    <w:rsid w:val="001F1042"/>
    <w:rsid w:val="002041B3"/>
    <w:rsid w:val="0021047B"/>
    <w:rsid w:val="00210F61"/>
    <w:rsid w:val="0022097B"/>
    <w:rsid w:val="002304DC"/>
    <w:rsid w:val="00231171"/>
    <w:rsid w:val="0023208F"/>
    <w:rsid w:val="00240667"/>
    <w:rsid w:val="00244717"/>
    <w:rsid w:val="002609CF"/>
    <w:rsid w:val="0027086F"/>
    <w:rsid w:val="0028609C"/>
    <w:rsid w:val="002910F2"/>
    <w:rsid w:val="002A438F"/>
    <w:rsid w:val="002A4F30"/>
    <w:rsid w:val="002B1F3F"/>
    <w:rsid w:val="002B77D5"/>
    <w:rsid w:val="002B7F7D"/>
    <w:rsid w:val="002C4406"/>
    <w:rsid w:val="002C4C4E"/>
    <w:rsid w:val="002C51CF"/>
    <w:rsid w:val="002D04F7"/>
    <w:rsid w:val="002D3B82"/>
    <w:rsid w:val="002E103D"/>
    <w:rsid w:val="002E2FCD"/>
    <w:rsid w:val="002F0FE7"/>
    <w:rsid w:val="002F2BA6"/>
    <w:rsid w:val="002F535A"/>
    <w:rsid w:val="003016F6"/>
    <w:rsid w:val="00301A3D"/>
    <w:rsid w:val="003032D7"/>
    <w:rsid w:val="00304D53"/>
    <w:rsid w:val="00307F92"/>
    <w:rsid w:val="00313F44"/>
    <w:rsid w:val="003152EC"/>
    <w:rsid w:val="00315762"/>
    <w:rsid w:val="00317A12"/>
    <w:rsid w:val="00330CAD"/>
    <w:rsid w:val="00332E91"/>
    <w:rsid w:val="00337F2E"/>
    <w:rsid w:val="00343A73"/>
    <w:rsid w:val="00350816"/>
    <w:rsid w:val="003577D9"/>
    <w:rsid w:val="00361EC8"/>
    <w:rsid w:val="00366218"/>
    <w:rsid w:val="0036778D"/>
    <w:rsid w:val="00374329"/>
    <w:rsid w:val="00376685"/>
    <w:rsid w:val="00380480"/>
    <w:rsid w:val="00383BE2"/>
    <w:rsid w:val="00384FA8"/>
    <w:rsid w:val="00390DC6"/>
    <w:rsid w:val="003961DF"/>
    <w:rsid w:val="003A74AE"/>
    <w:rsid w:val="003B2ECB"/>
    <w:rsid w:val="003B6DF3"/>
    <w:rsid w:val="003C1991"/>
    <w:rsid w:val="003C5391"/>
    <w:rsid w:val="003D0D39"/>
    <w:rsid w:val="003D6338"/>
    <w:rsid w:val="003E7370"/>
    <w:rsid w:val="0041453B"/>
    <w:rsid w:val="004210C1"/>
    <w:rsid w:val="00432D78"/>
    <w:rsid w:val="004462E0"/>
    <w:rsid w:val="00454963"/>
    <w:rsid w:val="00457D16"/>
    <w:rsid w:val="00485103"/>
    <w:rsid w:val="00491EEC"/>
    <w:rsid w:val="004A5FD0"/>
    <w:rsid w:val="004B54C0"/>
    <w:rsid w:val="004C3257"/>
    <w:rsid w:val="004F39EB"/>
    <w:rsid w:val="004F56E1"/>
    <w:rsid w:val="005009AC"/>
    <w:rsid w:val="00501115"/>
    <w:rsid w:val="005144F5"/>
    <w:rsid w:val="00523A33"/>
    <w:rsid w:val="00525968"/>
    <w:rsid w:val="00541134"/>
    <w:rsid w:val="00546A47"/>
    <w:rsid w:val="00556532"/>
    <w:rsid w:val="00561F9D"/>
    <w:rsid w:val="0057150A"/>
    <w:rsid w:val="005776AD"/>
    <w:rsid w:val="005807FF"/>
    <w:rsid w:val="00593620"/>
    <w:rsid w:val="005B2415"/>
    <w:rsid w:val="005B43AB"/>
    <w:rsid w:val="005C7A15"/>
    <w:rsid w:val="005D0FD6"/>
    <w:rsid w:val="005D36B4"/>
    <w:rsid w:val="005D3748"/>
    <w:rsid w:val="005D6411"/>
    <w:rsid w:val="005E438A"/>
    <w:rsid w:val="005F3419"/>
    <w:rsid w:val="005F4640"/>
    <w:rsid w:val="006018D8"/>
    <w:rsid w:val="00611354"/>
    <w:rsid w:val="006438DF"/>
    <w:rsid w:val="00646381"/>
    <w:rsid w:val="0067409F"/>
    <w:rsid w:val="00696802"/>
    <w:rsid w:val="006B5B8D"/>
    <w:rsid w:val="006C0B5A"/>
    <w:rsid w:val="006C3543"/>
    <w:rsid w:val="006C61E4"/>
    <w:rsid w:val="006D3295"/>
    <w:rsid w:val="006D7D82"/>
    <w:rsid w:val="006F24AF"/>
    <w:rsid w:val="006F6CCA"/>
    <w:rsid w:val="00714B07"/>
    <w:rsid w:val="00716B2E"/>
    <w:rsid w:val="00720856"/>
    <w:rsid w:val="00725AA5"/>
    <w:rsid w:val="00730C85"/>
    <w:rsid w:val="00733E4C"/>
    <w:rsid w:val="00737E23"/>
    <w:rsid w:val="00760A98"/>
    <w:rsid w:val="0078084A"/>
    <w:rsid w:val="007B5A16"/>
    <w:rsid w:val="007B7348"/>
    <w:rsid w:val="007B7D55"/>
    <w:rsid w:val="007C0199"/>
    <w:rsid w:val="007D7026"/>
    <w:rsid w:val="007E27D3"/>
    <w:rsid w:val="00802B34"/>
    <w:rsid w:val="0080549D"/>
    <w:rsid w:val="00806EC3"/>
    <w:rsid w:val="0081169A"/>
    <w:rsid w:val="00816068"/>
    <w:rsid w:val="008208F9"/>
    <w:rsid w:val="0084086D"/>
    <w:rsid w:val="00841B7F"/>
    <w:rsid w:val="00844FCE"/>
    <w:rsid w:val="008474AB"/>
    <w:rsid w:val="00850ADE"/>
    <w:rsid w:val="00852447"/>
    <w:rsid w:val="008704A5"/>
    <w:rsid w:val="00876D82"/>
    <w:rsid w:val="00883EFD"/>
    <w:rsid w:val="00884AAE"/>
    <w:rsid w:val="0088554C"/>
    <w:rsid w:val="00885E10"/>
    <w:rsid w:val="008A04F6"/>
    <w:rsid w:val="008B0270"/>
    <w:rsid w:val="008C2C0D"/>
    <w:rsid w:val="008C6134"/>
    <w:rsid w:val="008C63DE"/>
    <w:rsid w:val="008C770A"/>
    <w:rsid w:val="008D1EBB"/>
    <w:rsid w:val="008D27A3"/>
    <w:rsid w:val="008D68DF"/>
    <w:rsid w:val="008E7A4F"/>
    <w:rsid w:val="008F5CBB"/>
    <w:rsid w:val="009236F1"/>
    <w:rsid w:val="0092387D"/>
    <w:rsid w:val="00925C81"/>
    <w:rsid w:val="00925CFC"/>
    <w:rsid w:val="00934AD0"/>
    <w:rsid w:val="00935BC7"/>
    <w:rsid w:val="009433E2"/>
    <w:rsid w:val="00944E38"/>
    <w:rsid w:val="0095571D"/>
    <w:rsid w:val="00956146"/>
    <w:rsid w:val="00973F36"/>
    <w:rsid w:val="00982FBB"/>
    <w:rsid w:val="00986B11"/>
    <w:rsid w:val="009A4B76"/>
    <w:rsid w:val="009A5CEC"/>
    <w:rsid w:val="009B33BD"/>
    <w:rsid w:val="009D1BC4"/>
    <w:rsid w:val="009E3961"/>
    <w:rsid w:val="00A005C8"/>
    <w:rsid w:val="00A05CB6"/>
    <w:rsid w:val="00A107F8"/>
    <w:rsid w:val="00A20F2D"/>
    <w:rsid w:val="00A24B64"/>
    <w:rsid w:val="00A32EA5"/>
    <w:rsid w:val="00A5736C"/>
    <w:rsid w:val="00A74C0F"/>
    <w:rsid w:val="00A818B7"/>
    <w:rsid w:val="00A91473"/>
    <w:rsid w:val="00A94C5E"/>
    <w:rsid w:val="00AB101D"/>
    <w:rsid w:val="00AC176A"/>
    <w:rsid w:val="00AC4008"/>
    <w:rsid w:val="00AE232C"/>
    <w:rsid w:val="00AF3EBC"/>
    <w:rsid w:val="00AF5426"/>
    <w:rsid w:val="00B32E06"/>
    <w:rsid w:val="00B35E5C"/>
    <w:rsid w:val="00B46D0F"/>
    <w:rsid w:val="00B54070"/>
    <w:rsid w:val="00B76F36"/>
    <w:rsid w:val="00B9002A"/>
    <w:rsid w:val="00B956C5"/>
    <w:rsid w:val="00BA211A"/>
    <w:rsid w:val="00BA4361"/>
    <w:rsid w:val="00BA73C8"/>
    <w:rsid w:val="00BB4F80"/>
    <w:rsid w:val="00BC05F9"/>
    <w:rsid w:val="00BC68E4"/>
    <w:rsid w:val="00BD638E"/>
    <w:rsid w:val="00BD7AF5"/>
    <w:rsid w:val="00BE273B"/>
    <w:rsid w:val="00BE4DE3"/>
    <w:rsid w:val="00BF0961"/>
    <w:rsid w:val="00C023E8"/>
    <w:rsid w:val="00C10722"/>
    <w:rsid w:val="00C17E08"/>
    <w:rsid w:val="00C24CA7"/>
    <w:rsid w:val="00C44AE8"/>
    <w:rsid w:val="00C4630C"/>
    <w:rsid w:val="00C5110E"/>
    <w:rsid w:val="00C60413"/>
    <w:rsid w:val="00C830CD"/>
    <w:rsid w:val="00CB1470"/>
    <w:rsid w:val="00CB3803"/>
    <w:rsid w:val="00CC44AF"/>
    <w:rsid w:val="00CC7636"/>
    <w:rsid w:val="00CD021A"/>
    <w:rsid w:val="00CD695B"/>
    <w:rsid w:val="00CE076A"/>
    <w:rsid w:val="00CF13DA"/>
    <w:rsid w:val="00D06732"/>
    <w:rsid w:val="00D21039"/>
    <w:rsid w:val="00D339A4"/>
    <w:rsid w:val="00D37759"/>
    <w:rsid w:val="00D41B8C"/>
    <w:rsid w:val="00D438EA"/>
    <w:rsid w:val="00D4574C"/>
    <w:rsid w:val="00D47E6E"/>
    <w:rsid w:val="00D50240"/>
    <w:rsid w:val="00D52FD2"/>
    <w:rsid w:val="00D537C4"/>
    <w:rsid w:val="00D56E2A"/>
    <w:rsid w:val="00D62CAF"/>
    <w:rsid w:val="00D8199B"/>
    <w:rsid w:val="00D90A9C"/>
    <w:rsid w:val="00D91725"/>
    <w:rsid w:val="00D93D2F"/>
    <w:rsid w:val="00DA0B81"/>
    <w:rsid w:val="00DA10D6"/>
    <w:rsid w:val="00DA3FF3"/>
    <w:rsid w:val="00DB232E"/>
    <w:rsid w:val="00DB5C92"/>
    <w:rsid w:val="00DC013A"/>
    <w:rsid w:val="00DC0A9D"/>
    <w:rsid w:val="00DC2C35"/>
    <w:rsid w:val="00DC4D8A"/>
    <w:rsid w:val="00DD623D"/>
    <w:rsid w:val="00DE5198"/>
    <w:rsid w:val="00DE54DE"/>
    <w:rsid w:val="00DF07AD"/>
    <w:rsid w:val="00DF3A9E"/>
    <w:rsid w:val="00DF5746"/>
    <w:rsid w:val="00DF6A8E"/>
    <w:rsid w:val="00E0258B"/>
    <w:rsid w:val="00E03EF7"/>
    <w:rsid w:val="00E1393E"/>
    <w:rsid w:val="00E16B9D"/>
    <w:rsid w:val="00E20840"/>
    <w:rsid w:val="00E24FE0"/>
    <w:rsid w:val="00E27AD8"/>
    <w:rsid w:val="00E27FAC"/>
    <w:rsid w:val="00E419B7"/>
    <w:rsid w:val="00E4545F"/>
    <w:rsid w:val="00E46B70"/>
    <w:rsid w:val="00E518CB"/>
    <w:rsid w:val="00E51E06"/>
    <w:rsid w:val="00E8417B"/>
    <w:rsid w:val="00E855D8"/>
    <w:rsid w:val="00E862DB"/>
    <w:rsid w:val="00E94FC0"/>
    <w:rsid w:val="00E96049"/>
    <w:rsid w:val="00EC309A"/>
    <w:rsid w:val="00EC43F2"/>
    <w:rsid w:val="00EC7FF1"/>
    <w:rsid w:val="00ED0909"/>
    <w:rsid w:val="00ED72E8"/>
    <w:rsid w:val="00F20376"/>
    <w:rsid w:val="00F20C97"/>
    <w:rsid w:val="00F3305F"/>
    <w:rsid w:val="00F33DA7"/>
    <w:rsid w:val="00F34FD6"/>
    <w:rsid w:val="00F659AD"/>
    <w:rsid w:val="00F867C2"/>
    <w:rsid w:val="00F97C5C"/>
    <w:rsid w:val="00FA4832"/>
    <w:rsid w:val="00FB3245"/>
    <w:rsid w:val="00FC6108"/>
    <w:rsid w:val="00FF41E9"/>
    <w:rsid w:val="00FF5E7E"/>
    <w:rsid w:val="00FF658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4ADAB"/>
  <w15:chartTrackingRefBased/>
  <w15:docId w15:val="{D9982CFF-3312-4431-940E-FC64DCB67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4832"/>
    <w:pPr>
      <w:spacing w:after="0" w:line="276" w:lineRule="auto"/>
    </w:pPr>
    <w:rPr>
      <w:rFonts w:ascii="Arial" w:eastAsia="Arial" w:hAnsi="Arial" w:cs="Arial"/>
      <w:sz w:val="22"/>
      <w:szCs w:val="22"/>
      <w14:ligatures w14:val="none"/>
    </w:rPr>
  </w:style>
  <w:style w:type="paragraph" w:styleId="Heading1">
    <w:name w:val="heading 1"/>
    <w:basedOn w:val="Normal"/>
    <w:next w:val="Normal"/>
    <w:link w:val="Heading1Char"/>
    <w:uiPriority w:val="9"/>
    <w:qFormat/>
    <w:rsid w:val="00ED72E8"/>
    <w:pPr>
      <w:keepNext/>
      <w:keepLines/>
      <w:spacing w:before="360" w:after="80" w:line="278" w:lineRule="auto"/>
      <w:outlineLvl w:val="0"/>
    </w:pPr>
    <w:rPr>
      <w:rFonts w:asciiTheme="majorHAnsi" w:eastAsiaTheme="majorEastAsia" w:hAnsiTheme="majorHAnsi" w:cstheme="majorBidi"/>
      <w:color w:val="2F5496" w:themeColor="accent1" w:themeShade="BF"/>
      <w:sz w:val="40"/>
      <w:szCs w:val="40"/>
      <w14:ligatures w14:val="standardContextual"/>
    </w:rPr>
  </w:style>
  <w:style w:type="paragraph" w:styleId="Heading2">
    <w:name w:val="heading 2"/>
    <w:basedOn w:val="Normal"/>
    <w:next w:val="Normal"/>
    <w:link w:val="Heading2Char"/>
    <w:uiPriority w:val="9"/>
    <w:unhideWhenUsed/>
    <w:qFormat/>
    <w:rsid w:val="00ED72E8"/>
    <w:pPr>
      <w:keepNext/>
      <w:keepLines/>
      <w:spacing w:before="160" w:after="80" w:line="278" w:lineRule="auto"/>
      <w:outlineLvl w:val="1"/>
    </w:pPr>
    <w:rPr>
      <w:rFonts w:asciiTheme="majorHAnsi" w:eastAsiaTheme="majorEastAsia" w:hAnsiTheme="majorHAnsi" w:cstheme="majorBidi"/>
      <w:color w:val="2F5496" w:themeColor="accent1" w:themeShade="BF"/>
      <w:sz w:val="32"/>
      <w:szCs w:val="32"/>
      <w14:ligatures w14:val="standardContextual"/>
    </w:rPr>
  </w:style>
  <w:style w:type="paragraph" w:styleId="Heading3">
    <w:name w:val="heading 3"/>
    <w:basedOn w:val="Normal"/>
    <w:next w:val="Normal"/>
    <w:link w:val="Heading3Char"/>
    <w:uiPriority w:val="9"/>
    <w:semiHidden/>
    <w:unhideWhenUsed/>
    <w:qFormat/>
    <w:rsid w:val="00ED72E8"/>
    <w:pPr>
      <w:keepNext/>
      <w:keepLines/>
      <w:spacing w:before="160" w:after="80" w:line="278" w:lineRule="auto"/>
      <w:outlineLvl w:val="2"/>
    </w:pPr>
    <w:rPr>
      <w:rFonts w:asciiTheme="minorHAnsi" w:eastAsiaTheme="majorEastAsia" w:hAnsiTheme="minorHAnsi" w:cstheme="majorBidi"/>
      <w:color w:val="2F5496" w:themeColor="accent1" w:themeShade="BF"/>
      <w:sz w:val="28"/>
      <w:szCs w:val="28"/>
      <w14:ligatures w14:val="standardContextual"/>
    </w:rPr>
  </w:style>
  <w:style w:type="paragraph" w:styleId="Heading4">
    <w:name w:val="heading 4"/>
    <w:basedOn w:val="Normal"/>
    <w:next w:val="Normal"/>
    <w:link w:val="Heading4Char"/>
    <w:uiPriority w:val="9"/>
    <w:semiHidden/>
    <w:unhideWhenUsed/>
    <w:qFormat/>
    <w:rsid w:val="00ED72E8"/>
    <w:pPr>
      <w:keepNext/>
      <w:keepLines/>
      <w:spacing w:before="80" w:after="40" w:line="278" w:lineRule="auto"/>
      <w:outlineLvl w:val="3"/>
    </w:pPr>
    <w:rPr>
      <w:rFonts w:asciiTheme="minorHAnsi" w:eastAsiaTheme="majorEastAsia" w:hAnsiTheme="minorHAnsi" w:cstheme="majorBidi"/>
      <w:i/>
      <w:iCs/>
      <w:color w:val="2F5496" w:themeColor="accent1" w:themeShade="BF"/>
      <w:sz w:val="24"/>
      <w:szCs w:val="24"/>
      <w14:ligatures w14:val="standardContextual"/>
    </w:rPr>
  </w:style>
  <w:style w:type="paragraph" w:styleId="Heading5">
    <w:name w:val="heading 5"/>
    <w:basedOn w:val="Normal"/>
    <w:next w:val="Normal"/>
    <w:link w:val="Heading5Char"/>
    <w:uiPriority w:val="9"/>
    <w:semiHidden/>
    <w:unhideWhenUsed/>
    <w:qFormat/>
    <w:rsid w:val="00ED72E8"/>
    <w:pPr>
      <w:keepNext/>
      <w:keepLines/>
      <w:spacing w:before="80" w:after="40" w:line="278" w:lineRule="auto"/>
      <w:outlineLvl w:val="4"/>
    </w:pPr>
    <w:rPr>
      <w:rFonts w:asciiTheme="minorHAnsi" w:eastAsiaTheme="majorEastAsia" w:hAnsiTheme="minorHAnsi" w:cstheme="majorBidi"/>
      <w:color w:val="2F5496" w:themeColor="accent1" w:themeShade="BF"/>
      <w:sz w:val="24"/>
      <w:szCs w:val="24"/>
      <w14:ligatures w14:val="standardContextual"/>
    </w:rPr>
  </w:style>
  <w:style w:type="paragraph" w:styleId="Heading6">
    <w:name w:val="heading 6"/>
    <w:basedOn w:val="Normal"/>
    <w:next w:val="Normal"/>
    <w:link w:val="Heading6Char"/>
    <w:uiPriority w:val="9"/>
    <w:semiHidden/>
    <w:unhideWhenUsed/>
    <w:qFormat/>
    <w:rsid w:val="00ED72E8"/>
    <w:pPr>
      <w:keepNext/>
      <w:keepLines/>
      <w:spacing w:before="40" w:line="278" w:lineRule="auto"/>
      <w:outlineLvl w:val="5"/>
    </w:pPr>
    <w:rPr>
      <w:rFonts w:asciiTheme="minorHAnsi" w:eastAsiaTheme="majorEastAsia" w:hAnsiTheme="minorHAnsi" w:cstheme="majorBidi"/>
      <w:i/>
      <w:iCs/>
      <w:color w:val="595959" w:themeColor="text1" w:themeTint="A6"/>
      <w:sz w:val="24"/>
      <w:szCs w:val="24"/>
      <w14:ligatures w14:val="standardContextual"/>
    </w:rPr>
  </w:style>
  <w:style w:type="paragraph" w:styleId="Heading7">
    <w:name w:val="heading 7"/>
    <w:basedOn w:val="Normal"/>
    <w:next w:val="Normal"/>
    <w:link w:val="Heading7Char"/>
    <w:uiPriority w:val="9"/>
    <w:semiHidden/>
    <w:unhideWhenUsed/>
    <w:qFormat/>
    <w:rsid w:val="00ED72E8"/>
    <w:pPr>
      <w:keepNext/>
      <w:keepLines/>
      <w:spacing w:before="40" w:line="278" w:lineRule="auto"/>
      <w:outlineLvl w:val="6"/>
    </w:pPr>
    <w:rPr>
      <w:rFonts w:asciiTheme="minorHAnsi" w:eastAsiaTheme="majorEastAsia" w:hAnsiTheme="minorHAnsi" w:cstheme="majorBidi"/>
      <w:color w:val="595959" w:themeColor="text1" w:themeTint="A6"/>
      <w:sz w:val="24"/>
      <w:szCs w:val="24"/>
      <w14:ligatures w14:val="standardContextual"/>
    </w:rPr>
  </w:style>
  <w:style w:type="paragraph" w:styleId="Heading8">
    <w:name w:val="heading 8"/>
    <w:basedOn w:val="Normal"/>
    <w:next w:val="Normal"/>
    <w:link w:val="Heading8Char"/>
    <w:uiPriority w:val="9"/>
    <w:semiHidden/>
    <w:unhideWhenUsed/>
    <w:qFormat/>
    <w:rsid w:val="00ED72E8"/>
    <w:pPr>
      <w:keepNext/>
      <w:keepLines/>
      <w:spacing w:line="278" w:lineRule="auto"/>
      <w:outlineLvl w:val="7"/>
    </w:pPr>
    <w:rPr>
      <w:rFonts w:asciiTheme="minorHAnsi" w:eastAsiaTheme="majorEastAsia" w:hAnsiTheme="minorHAnsi" w:cstheme="majorBidi"/>
      <w:i/>
      <w:iCs/>
      <w:color w:val="272727" w:themeColor="text1" w:themeTint="D8"/>
      <w:sz w:val="24"/>
      <w:szCs w:val="24"/>
      <w14:ligatures w14:val="standardContextual"/>
    </w:rPr>
  </w:style>
  <w:style w:type="paragraph" w:styleId="Heading9">
    <w:name w:val="heading 9"/>
    <w:basedOn w:val="Normal"/>
    <w:next w:val="Normal"/>
    <w:link w:val="Heading9Char"/>
    <w:uiPriority w:val="9"/>
    <w:semiHidden/>
    <w:unhideWhenUsed/>
    <w:qFormat/>
    <w:rsid w:val="00ED72E8"/>
    <w:pPr>
      <w:keepNext/>
      <w:keepLines/>
      <w:spacing w:line="278" w:lineRule="auto"/>
      <w:outlineLvl w:val="8"/>
    </w:pPr>
    <w:rPr>
      <w:rFonts w:asciiTheme="minorHAnsi" w:eastAsiaTheme="majorEastAsia" w:hAnsiTheme="minorHAnsi" w:cstheme="majorBidi"/>
      <w:color w:val="272727" w:themeColor="text1" w:themeTint="D8"/>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72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D72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72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72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72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72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72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72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72E8"/>
    <w:rPr>
      <w:rFonts w:eastAsiaTheme="majorEastAsia" w:cstheme="majorBidi"/>
      <w:color w:val="272727" w:themeColor="text1" w:themeTint="D8"/>
    </w:rPr>
  </w:style>
  <w:style w:type="paragraph" w:styleId="Title">
    <w:name w:val="Title"/>
    <w:basedOn w:val="Normal"/>
    <w:next w:val="Normal"/>
    <w:link w:val="TitleChar"/>
    <w:uiPriority w:val="10"/>
    <w:qFormat/>
    <w:rsid w:val="00ED72E8"/>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D72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72E8"/>
    <w:pPr>
      <w:numPr>
        <w:ilvl w:val="1"/>
      </w:numPr>
      <w:spacing w:after="160" w:line="278" w:lineRule="auto"/>
    </w:pPr>
    <w:rPr>
      <w:rFonts w:asciiTheme="minorHAnsi" w:eastAsiaTheme="majorEastAsia" w:hAnsiTheme="minorHAnsi" w:cstheme="majorBidi"/>
      <w:color w:val="595959" w:themeColor="text1" w:themeTint="A6"/>
      <w:spacing w:val="15"/>
      <w:sz w:val="28"/>
      <w:szCs w:val="28"/>
      <w14:ligatures w14:val="standardContextual"/>
    </w:rPr>
  </w:style>
  <w:style w:type="character" w:customStyle="1" w:styleId="SubtitleChar">
    <w:name w:val="Subtitle Char"/>
    <w:basedOn w:val="DefaultParagraphFont"/>
    <w:link w:val="Subtitle"/>
    <w:uiPriority w:val="11"/>
    <w:rsid w:val="00ED72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72E8"/>
    <w:pPr>
      <w:spacing w:before="160" w:after="160" w:line="278" w:lineRule="auto"/>
      <w:jc w:val="center"/>
    </w:pPr>
    <w:rPr>
      <w:rFonts w:asciiTheme="minorHAnsi" w:eastAsiaTheme="minorHAnsi" w:hAnsiTheme="minorHAnsi" w:cstheme="minorBidi"/>
      <w:i/>
      <w:iCs/>
      <w:color w:val="404040" w:themeColor="text1" w:themeTint="BF"/>
      <w:sz w:val="24"/>
      <w:szCs w:val="24"/>
      <w14:ligatures w14:val="standardContextual"/>
    </w:rPr>
  </w:style>
  <w:style w:type="character" w:customStyle="1" w:styleId="QuoteChar">
    <w:name w:val="Quote Char"/>
    <w:basedOn w:val="DefaultParagraphFont"/>
    <w:link w:val="Quote"/>
    <w:uiPriority w:val="29"/>
    <w:rsid w:val="00ED72E8"/>
    <w:rPr>
      <w:i/>
      <w:iCs/>
      <w:color w:val="404040" w:themeColor="text1" w:themeTint="BF"/>
    </w:rPr>
  </w:style>
  <w:style w:type="paragraph" w:styleId="ListParagraph">
    <w:name w:val="List Paragraph"/>
    <w:basedOn w:val="Normal"/>
    <w:uiPriority w:val="34"/>
    <w:qFormat/>
    <w:rsid w:val="00ED72E8"/>
    <w:pPr>
      <w:spacing w:after="160" w:line="278" w:lineRule="auto"/>
      <w:ind w:left="720"/>
      <w:contextualSpacing/>
    </w:pPr>
    <w:rPr>
      <w:rFonts w:asciiTheme="minorHAnsi" w:eastAsiaTheme="minorHAnsi" w:hAnsiTheme="minorHAnsi" w:cstheme="minorBidi"/>
      <w:sz w:val="24"/>
      <w:szCs w:val="24"/>
      <w14:ligatures w14:val="standardContextual"/>
    </w:rPr>
  </w:style>
  <w:style w:type="character" w:styleId="IntenseEmphasis">
    <w:name w:val="Intense Emphasis"/>
    <w:basedOn w:val="DefaultParagraphFont"/>
    <w:uiPriority w:val="21"/>
    <w:qFormat/>
    <w:rsid w:val="00ED72E8"/>
    <w:rPr>
      <w:i/>
      <w:iCs/>
      <w:color w:val="2F5496" w:themeColor="accent1" w:themeShade="BF"/>
    </w:rPr>
  </w:style>
  <w:style w:type="paragraph" w:styleId="IntenseQuote">
    <w:name w:val="Intense Quote"/>
    <w:basedOn w:val="Normal"/>
    <w:next w:val="Normal"/>
    <w:link w:val="IntenseQuoteChar"/>
    <w:uiPriority w:val="30"/>
    <w:qFormat/>
    <w:rsid w:val="00ED72E8"/>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sz w:val="24"/>
      <w:szCs w:val="24"/>
      <w14:ligatures w14:val="standardContextual"/>
    </w:rPr>
  </w:style>
  <w:style w:type="character" w:customStyle="1" w:styleId="IntenseQuoteChar">
    <w:name w:val="Intense Quote Char"/>
    <w:basedOn w:val="DefaultParagraphFont"/>
    <w:link w:val="IntenseQuote"/>
    <w:uiPriority w:val="30"/>
    <w:rsid w:val="00ED72E8"/>
    <w:rPr>
      <w:i/>
      <w:iCs/>
      <w:color w:val="2F5496" w:themeColor="accent1" w:themeShade="BF"/>
    </w:rPr>
  </w:style>
  <w:style w:type="character" w:styleId="IntenseReference">
    <w:name w:val="Intense Reference"/>
    <w:basedOn w:val="DefaultParagraphFont"/>
    <w:uiPriority w:val="32"/>
    <w:qFormat/>
    <w:rsid w:val="00ED72E8"/>
    <w:rPr>
      <w:b/>
      <w:bCs/>
      <w:smallCaps/>
      <w:color w:val="2F5496" w:themeColor="accent1" w:themeShade="BF"/>
      <w:spacing w:val="5"/>
    </w:rPr>
  </w:style>
  <w:style w:type="character" w:styleId="PlaceholderText">
    <w:name w:val="Placeholder Text"/>
    <w:basedOn w:val="DefaultParagraphFont"/>
    <w:uiPriority w:val="99"/>
    <w:semiHidden/>
    <w:rsid w:val="001B2F5F"/>
    <w:rPr>
      <w:color w:val="666666"/>
    </w:rPr>
  </w:style>
  <w:style w:type="paragraph" w:customStyle="1" w:styleId="Duz2">
    <w:name w:val="Duz_2"/>
    <w:basedOn w:val="Heading2"/>
    <w:qFormat/>
    <w:rsid w:val="00BD638E"/>
    <w:rPr>
      <w:rFonts w:ascii="Helvetica Neue" w:hAnsi="Helvetica Neue"/>
      <w:b/>
      <w:color w:val="000000" w:themeColor="text1"/>
    </w:rPr>
  </w:style>
  <w:style w:type="paragraph" w:customStyle="1" w:styleId="Duz3">
    <w:name w:val="Duz_3"/>
    <w:basedOn w:val="Heading3"/>
    <w:link w:val="Duz3Char"/>
    <w:qFormat/>
    <w:rsid w:val="00BD638E"/>
    <w:rPr>
      <w:rFonts w:ascii="Helvetica Neue" w:eastAsia="Calibri" w:hAnsi="Helvetica Neue"/>
      <w:b/>
      <w:bCs/>
      <w:color w:val="000000" w:themeColor="text1"/>
    </w:rPr>
  </w:style>
  <w:style w:type="character" w:customStyle="1" w:styleId="Duz3Char">
    <w:name w:val="Duz_3 Char"/>
    <w:basedOn w:val="Heading3Char"/>
    <w:link w:val="Duz3"/>
    <w:rsid w:val="00BD638E"/>
    <w:rPr>
      <w:rFonts w:ascii="Helvetica Neue" w:eastAsia="Calibri" w:hAnsi="Helvetica Neue" w:cstheme="majorBidi"/>
      <w:b/>
      <w:bCs/>
      <w:color w:val="000000" w:themeColor="text1"/>
      <w:sz w:val="28"/>
      <w:szCs w:val="28"/>
    </w:rPr>
  </w:style>
  <w:style w:type="paragraph" w:customStyle="1" w:styleId="Duz4">
    <w:name w:val="Duz_4"/>
    <w:basedOn w:val="Heading4"/>
    <w:qFormat/>
    <w:rsid w:val="005D36B4"/>
    <w:rPr>
      <w:rFonts w:ascii="Helvetica Neue" w:eastAsia="Calibri" w:hAnsi="Helvetica Neue"/>
      <w:b/>
      <w:bCs/>
      <w:color w:val="000000" w:themeColor="text1"/>
    </w:rPr>
  </w:style>
  <w:style w:type="paragraph" w:customStyle="1" w:styleId="Duz1">
    <w:name w:val="Duz_1"/>
    <w:basedOn w:val="Heading1"/>
    <w:qFormat/>
    <w:rsid w:val="001618A0"/>
    <w:rPr>
      <w:rFonts w:ascii="Helvetica Neue" w:hAnsi="Helvetica Neue"/>
      <w:b/>
      <w:bCs/>
      <w:color w:val="000000" w:themeColor="text1"/>
      <w:szCs w:val="28"/>
    </w:rPr>
  </w:style>
  <w:style w:type="character" w:styleId="CommentReference">
    <w:name w:val="annotation reference"/>
    <w:basedOn w:val="DefaultParagraphFont"/>
    <w:uiPriority w:val="99"/>
    <w:semiHidden/>
    <w:unhideWhenUsed/>
    <w:rsid w:val="006C3543"/>
    <w:rPr>
      <w:sz w:val="16"/>
      <w:szCs w:val="16"/>
    </w:rPr>
  </w:style>
  <w:style w:type="paragraph" w:styleId="CommentText">
    <w:name w:val="annotation text"/>
    <w:basedOn w:val="Normal"/>
    <w:link w:val="CommentTextChar"/>
    <w:uiPriority w:val="99"/>
    <w:unhideWhenUsed/>
    <w:rsid w:val="006C3543"/>
    <w:pPr>
      <w:spacing w:line="240" w:lineRule="auto"/>
    </w:pPr>
    <w:rPr>
      <w:sz w:val="20"/>
      <w:szCs w:val="20"/>
    </w:rPr>
  </w:style>
  <w:style w:type="character" w:customStyle="1" w:styleId="CommentTextChar">
    <w:name w:val="Comment Text Char"/>
    <w:basedOn w:val="DefaultParagraphFont"/>
    <w:link w:val="CommentText"/>
    <w:uiPriority w:val="99"/>
    <w:rsid w:val="006C3543"/>
    <w:rPr>
      <w:rFonts w:ascii="Arial" w:eastAsia="Arial" w:hAnsi="Arial" w:cs="Arial"/>
      <w:sz w:val="20"/>
      <w:szCs w:val="20"/>
      <w14:ligatures w14:val="none"/>
    </w:rPr>
  </w:style>
  <w:style w:type="paragraph" w:styleId="CommentSubject">
    <w:name w:val="annotation subject"/>
    <w:basedOn w:val="CommentText"/>
    <w:next w:val="CommentText"/>
    <w:link w:val="CommentSubjectChar"/>
    <w:uiPriority w:val="99"/>
    <w:semiHidden/>
    <w:unhideWhenUsed/>
    <w:rsid w:val="006C3543"/>
    <w:rPr>
      <w:b/>
      <w:bCs/>
    </w:rPr>
  </w:style>
  <w:style w:type="character" w:customStyle="1" w:styleId="CommentSubjectChar">
    <w:name w:val="Comment Subject Char"/>
    <w:basedOn w:val="CommentTextChar"/>
    <w:link w:val="CommentSubject"/>
    <w:uiPriority w:val="99"/>
    <w:semiHidden/>
    <w:rsid w:val="006C3543"/>
    <w:rPr>
      <w:rFonts w:ascii="Arial" w:eastAsia="Arial" w:hAnsi="Arial" w:cs="Arial"/>
      <w:b/>
      <w:bCs/>
      <w:sz w:val="20"/>
      <w:szCs w:val="20"/>
      <w14:ligatures w14:val="none"/>
    </w:rPr>
  </w:style>
  <w:style w:type="character" w:customStyle="1" w:styleId="math-inline">
    <w:name w:val="math-inline"/>
    <w:basedOn w:val="DefaultParagraphFont"/>
    <w:rsid w:val="00FF41E9"/>
  </w:style>
  <w:style w:type="character" w:customStyle="1" w:styleId="BodyTextChar">
    <w:name w:val="Body Text Char"/>
    <w:basedOn w:val="DefaultParagraphFont"/>
    <w:link w:val="BodyText"/>
    <w:qFormat/>
    <w:rsid w:val="00244717"/>
    <w:rPr>
      <w:rFonts w:ascii="Calibri" w:eastAsia="Calibri" w:hAnsi="Calibri" w:cs="Calibri"/>
      <w:lang w:eastAsia="tr-TR"/>
    </w:rPr>
  </w:style>
  <w:style w:type="paragraph" w:styleId="BodyText">
    <w:name w:val="Body Text"/>
    <w:basedOn w:val="Normal"/>
    <w:link w:val="BodyTextChar"/>
    <w:qFormat/>
    <w:rsid w:val="00244717"/>
    <w:pPr>
      <w:suppressAutoHyphens/>
      <w:spacing w:before="180" w:after="180" w:line="240" w:lineRule="auto"/>
    </w:pPr>
    <w:rPr>
      <w:rFonts w:ascii="Calibri" w:eastAsia="Calibri" w:hAnsi="Calibri" w:cs="Calibri"/>
      <w:sz w:val="24"/>
      <w:szCs w:val="24"/>
      <w:lang w:eastAsia="tr-TR"/>
      <w14:ligatures w14:val="standardContextual"/>
    </w:rPr>
  </w:style>
  <w:style w:type="character" w:customStyle="1" w:styleId="BodyTextChar1">
    <w:name w:val="Body Text Char1"/>
    <w:basedOn w:val="DefaultParagraphFont"/>
    <w:uiPriority w:val="99"/>
    <w:semiHidden/>
    <w:rsid w:val="00244717"/>
    <w:rPr>
      <w:rFonts w:ascii="Arial" w:eastAsia="Arial" w:hAnsi="Arial" w:cs="Arial"/>
      <w:sz w:val="22"/>
      <w:szCs w:val="22"/>
      <w14:ligatures w14:val="none"/>
    </w:rPr>
  </w:style>
  <w:style w:type="paragraph" w:styleId="Bibliography">
    <w:name w:val="Bibliography"/>
    <w:basedOn w:val="Normal"/>
    <w:next w:val="Normal"/>
    <w:uiPriority w:val="37"/>
    <w:unhideWhenUsed/>
    <w:rsid w:val="00BA4361"/>
    <w:pPr>
      <w:spacing w:line="480" w:lineRule="auto"/>
      <w:ind w:left="720" w:hanging="720"/>
    </w:pPr>
  </w:style>
  <w:style w:type="paragraph" w:styleId="Revision">
    <w:name w:val="Revision"/>
    <w:hidden/>
    <w:uiPriority w:val="99"/>
    <w:semiHidden/>
    <w:rsid w:val="00AC176A"/>
    <w:pPr>
      <w:spacing w:after="0" w:line="240" w:lineRule="auto"/>
    </w:pPr>
    <w:rPr>
      <w:rFonts w:ascii="Arial" w:eastAsia="Arial" w:hAnsi="Arial" w:cs="Arial"/>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image" Target="media/image2.tiff"/><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image" Target="media/image1.tiff"/><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04526A-3565-CC4D-BBC3-A27DD44FBE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1115</TotalTime>
  <Pages>16</Pages>
  <Words>18577</Words>
  <Characters>115555</Characters>
  <Application>Microsoft Office Word</Application>
  <DocSecurity>0</DocSecurity>
  <Lines>1777</Lines>
  <Paragraphs>485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Kaan Keskin</dc:creator>
  <cp:keywords/>
  <dc:description/>
  <cp:lastModifiedBy>Kaan Keskin</cp:lastModifiedBy>
  <cp:revision>246</cp:revision>
  <dcterms:created xsi:type="dcterms:W3CDTF">2026-03-08T13:03:00Z</dcterms:created>
  <dcterms:modified xsi:type="dcterms:W3CDTF">2026-04-28T19:18:00Z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id="UORe9VFE"/&gt;&lt;style id="http://www.zotero.org/styles/biological-psychiatry" hasBibliography="1" bibliographyStyleHasBeenSet="1"/&gt;&lt;prefs&gt;&lt;pref name="fieldType" value="Field"/&gt;&lt;/prefs&gt;&lt;/data&gt;</vt:lpwstr>
  </property>
</Properties>
</file>