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36D7" w14:textId="77777777" w:rsidR="00CF5FDF" w:rsidRDefault="007741FB">
      <w:pPr>
        <w:pStyle w:val="Title"/>
      </w:pPr>
      <w:r>
        <w:t>Comments to Reviewers</w:t>
      </w:r>
    </w:p>
    <w:p w14:paraId="4BE736D8" w14:textId="77777777" w:rsidR="00CF5FDF" w:rsidRDefault="007741FB">
      <w:pPr>
        <w:pStyle w:val="Heading1"/>
      </w:pPr>
      <w:r>
        <w:t>Reviewer 1</w:t>
      </w:r>
    </w:p>
    <w:p w14:paraId="4BE736D9" w14:textId="77777777" w:rsidR="00CF5FDF" w:rsidRDefault="007741FB">
      <w:pPr>
        <w:pStyle w:val="Textbody"/>
      </w:pPr>
      <w:r>
        <w:t xml:space="preserve">Comment 1: </w:t>
      </w:r>
      <w:r>
        <w:rPr>
          <w:i/>
          <w:iCs/>
        </w:rPr>
        <w:t>“In section 2.4.2, the authors state that group differences for computational parameters were assessed using non-parametric permutation tests with 10,000 samples. Please specify exactly what data points or variables were permuted during this process to ensure full reproducibility.”</w:t>
      </w:r>
    </w:p>
    <w:p w14:paraId="4BE736DA" w14:textId="77777777" w:rsidR="00CF5FDF" w:rsidRDefault="007741FB">
      <w:pPr>
        <w:pStyle w:val="Textbody"/>
        <w:rPr>
          <w:rFonts w:ascii="Arial" w:hAnsi="Arial"/>
        </w:rPr>
      </w:pPr>
      <w:r>
        <w:rPr>
          <w:rFonts w:ascii="Arial" w:hAnsi="Arial"/>
        </w:rPr>
        <w:t xml:space="preserve">Response 1:  </w:t>
      </w:r>
      <w:r>
        <w:rPr>
          <w:rFonts w:ascii="Arial" w:hAnsi="Arial"/>
          <w:color w:val="000000"/>
        </w:rPr>
        <w:t xml:space="preserve">We thank reviewer for higlighting a point about reproducibilty .We explicitly stated that we randomized the group labels for comparing medians due to non-normal </w:t>
      </w:r>
      <w:r>
        <w:rPr>
          <w:rFonts w:ascii="Arial" w:hAnsi="Arial"/>
          <w:color w:val="000000"/>
        </w:rPr>
        <w:t>distrubition of parameters</w:t>
      </w:r>
    </w:p>
    <w:p w14:paraId="4BE736DB" w14:textId="77777777" w:rsidR="00CF5FDF" w:rsidRDefault="007741FB">
      <w:pPr>
        <w:pStyle w:val="Textbody"/>
        <w:numPr>
          <w:ilvl w:val="0"/>
          <w:numId w:val="1"/>
        </w:numPr>
        <w:rPr>
          <w:rFonts w:ascii="Helvetica Neue" w:hAnsi="Helvetica Neue"/>
          <w:color w:val="2A6099"/>
        </w:rPr>
      </w:pPr>
      <w:r>
        <w:rPr>
          <w:rFonts w:ascii="Helvetica Neue" w:eastAsia="Helvetica Neue" w:hAnsi="Helvetica Neue" w:cs="Helvetica Neue"/>
          <w:color w:val="2A6099"/>
        </w:rPr>
        <w:t>“..Group differences in the computational parameters (</w:t>
      </w:r>
      <m:oMath>
        <m:r>
          <w:rPr>
            <w:rFonts w:ascii="Cambria Math" w:hAnsi="Cambria Math"/>
          </w:rPr>
          <m:t>α</m:t>
        </m:r>
      </m:oMath>
      <w:r>
        <w:rPr>
          <w:rFonts w:ascii="Helvetica Neue" w:eastAsia="Helvetica Neue" w:hAnsi="Helvetica Neue" w:cs="Helvetica Neue"/>
          <w:color w:val="2A6099"/>
        </w:rPr>
        <w:t xml:space="preserve">, </w:t>
      </w:r>
      <m:oMath>
        <m:r>
          <w:rPr>
            <w:rFonts w:ascii="Cambria Math" w:hAnsi="Cambria Math"/>
          </w:rPr>
          <m:t>β</m:t>
        </m:r>
      </m:oMath>
      <w:r>
        <w:rPr>
          <w:rFonts w:ascii="Helvetica Neue" w:eastAsia="Helvetica Neue" w:hAnsi="Helvetica Neue" w:cs="Helvetica Neue"/>
          <w:color w:val="2A6099"/>
        </w:rPr>
        <w:t>, Pseudo-R</w:t>
      </w:r>
      <w:r>
        <w:rPr>
          <w:rFonts w:ascii="Helvetica Neue" w:eastAsia="Helvetica Neue" w:hAnsi="Helvetica Neue" w:cs="Helvetica Neue"/>
          <w:color w:val="2A6099"/>
          <w:vertAlign w:val="superscript"/>
        </w:rPr>
        <w:t>2</w:t>
      </w:r>
      <w:r>
        <w:rPr>
          <w:rFonts w:ascii="Helvetica Neue" w:eastAsia="Helvetica Neue" w:hAnsi="Helvetica Neue" w:cs="Helvetica Neue"/>
          <w:color w:val="2A6099"/>
        </w:rPr>
        <w:t xml:space="preserve">) were evaluated using non-parametric permutation tests (10,000 iterations). To robustly account for the non-normal distribution of the estimates, the difference in group medians was computed through the methodological resampling of group labels...” </w:t>
      </w:r>
      <w:r>
        <w:rPr>
          <w:rFonts w:ascii="Helvetica Neue" w:eastAsia="Helvetica Neue" w:hAnsi="Helvetica Neue" w:cs="Helvetica Neue"/>
          <w:color w:val="000000"/>
        </w:rPr>
        <w:t>(Section 2.4.2, lines 212-224</w:t>
      </w:r>
      <w:r>
        <w:rPr>
          <w:rFonts w:ascii="Helvetica Neue" w:eastAsia="Helvetica Neue" w:hAnsi="Helvetica Neue" w:cs="Arial"/>
          <w:color w:val="000000"/>
        </w:rPr>
        <w:t>)</w:t>
      </w:r>
      <w:r>
        <w:rPr>
          <w:rFonts w:ascii="Helvetica Neue" w:eastAsia="Helvetica Neue" w:hAnsi="Helvetica Neue" w:cs="Helvetica Neue"/>
          <w:color w:val="000000"/>
        </w:rPr>
        <w:t>)</w:t>
      </w:r>
    </w:p>
    <w:p w14:paraId="4BE736DC" w14:textId="77777777" w:rsidR="00CF5FDF" w:rsidRDefault="00CF5FDF">
      <w:pPr>
        <w:pStyle w:val="Textbody"/>
      </w:pPr>
    </w:p>
    <w:p w14:paraId="4BE736DD" w14:textId="77777777" w:rsidR="00CF5FDF" w:rsidRDefault="007741FB">
      <w:pPr>
        <w:pStyle w:val="Textbody"/>
      </w:pPr>
      <w:r>
        <w:t xml:space="preserve">Comment 2: </w:t>
      </w:r>
      <w:r>
        <w:rPr>
          <w:i/>
          <w:iCs/>
        </w:rPr>
        <w:t xml:space="preserve">“In section 3.1, the text reports model-free metrics with margins. Please explicitly state in the text or figure captions </w:t>
      </w:r>
      <w:r>
        <w:rPr>
          <w:i/>
          <w:iCs/>
        </w:rPr>
        <w:t>whether these bounds represent Standard Deviation (SD) or Standard Error (SE).”</w:t>
      </w:r>
    </w:p>
    <w:p w14:paraId="4BE736DE" w14:textId="77777777" w:rsidR="00CF5FDF" w:rsidRDefault="007741FB">
      <w:pPr>
        <w:pStyle w:val="Textbody"/>
        <w:rPr>
          <w:rFonts w:ascii="Arial" w:hAnsi="Arial"/>
        </w:rPr>
      </w:pPr>
      <w:r>
        <w:rPr>
          <w:rFonts w:ascii="Arial" w:hAnsi="Arial"/>
        </w:rPr>
        <w:t xml:space="preserve">Response 2:  </w:t>
      </w:r>
      <w:r>
        <w:rPr>
          <w:rFonts w:ascii="Arial" w:hAnsi="Arial" w:cs="Arial"/>
        </w:rPr>
        <w:t>We thank the reviewer for their careful attention. We explicitly added that we reported the results as Standard Deviation.</w:t>
      </w:r>
    </w:p>
    <w:p w14:paraId="4BE736DF" w14:textId="77777777" w:rsidR="00CF5FDF" w:rsidRDefault="007741FB">
      <w:pPr>
        <w:pStyle w:val="Textbody"/>
        <w:numPr>
          <w:ilvl w:val="0"/>
          <w:numId w:val="2"/>
        </w:numPr>
        <w:rPr>
          <w:rFonts w:ascii="Helvetica Neue" w:hAnsi="Helvetica Neue" w:cs="Arial"/>
          <w:color w:val="2A6099"/>
        </w:rPr>
      </w:pPr>
      <w:r>
        <w:rPr>
          <w:rFonts w:ascii="Helvetica Neue" w:hAnsi="Helvetica Neue" w:cs="Arial"/>
          <w:color w:val="2A6099"/>
        </w:rPr>
        <w:t>“...</w:t>
      </w:r>
      <w:r>
        <w:rPr>
          <w:rFonts w:ascii="Helvetica Neue" w:eastAsia="Helvetica Neue" w:hAnsi="Helvetica Neue" w:cs="Helvetica Neue"/>
          <w:color w:val="2A6099"/>
        </w:rPr>
        <w:t>Statistical results are reported as Mean (</w:t>
      </w:r>
      <m:oMath>
        <m:r>
          <w:rPr>
            <w:rFonts w:ascii="Cambria Math" w:hAnsi="Cambria Math"/>
          </w:rPr>
          <m:t>M</m:t>
        </m:r>
      </m:oMath>
      <w:r>
        <w:rPr>
          <w:rFonts w:ascii="Helvetica Neue" w:eastAsia="Helvetica Neue" w:hAnsi="Helvetica Neue" w:cs="Helvetica Neue"/>
          <w:color w:val="2A6099"/>
        </w:rPr>
        <w:t>) and Standard Deviation (</w:t>
      </w:r>
      <m:oMath>
        <m:r>
          <w:rPr>
            <w:rFonts w:ascii="Cambria Math" w:hAnsi="Cambria Math"/>
          </w:rPr>
          <m:t>SD</m:t>
        </m:r>
        <m:r>
          <w:rPr>
            <w:rFonts w:ascii="Cambria Math" w:hAnsi="Cambria Math"/>
          </w:rPr>
          <m:t>;±</m:t>
        </m:r>
      </m:oMath>
      <w:r>
        <w:rPr>
          <w:rFonts w:ascii="Helvetica Neue" w:eastAsia="Helvetica Neue" w:hAnsi="Helvetica Neue" w:cs="Helvetica Neue"/>
          <w:color w:val="2A6099"/>
        </w:rPr>
        <w:t>).</w:t>
      </w:r>
      <w:r>
        <w:rPr>
          <w:rFonts w:ascii="Helvetica Neue" w:hAnsi="Helvetica Neue" w:cs="Arial"/>
          <w:color w:val="2A6099"/>
        </w:rPr>
        <w:t xml:space="preserve">” </w:t>
      </w:r>
      <w:r>
        <w:rPr>
          <w:rFonts w:ascii="Helvetica Neue" w:hAnsi="Helvetica Neue" w:cs="Arial"/>
          <w:color w:val="000000"/>
        </w:rPr>
        <w:t>(3. Results, line 258)</w:t>
      </w:r>
    </w:p>
    <w:p w14:paraId="4BE736E0" w14:textId="77777777" w:rsidR="00CF5FDF" w:rsidRDefault="00CF5FDF">
      <w:pPr>
        <w:pStyle w:val="Textbody"/>
      </w:pPr>
    </w:p>
    <w:p w14:paraId="4BE736E1" w14:textId="77777777" w:rsidR="00CF5FDF" w:rsidRDefault="007741FB">
      <w:pPr>
        <w:pStyle w:val="Textbody"/>
      </w:pPr>
      <w:r>
        <w:t xml:space="preserve">Comment 3: </w:t>
      </w:r>
      <w:r>
        <w:rPr>
          <w:i/>
          <w:iCs/>
        </w:rPr>
        <w:t xml:space="preserve">“In section 3.4, the authors note that the regression model predicting the log-transformed inverse temperature was statistically significant, while the model predicting the learning </w:t>
      </w:r>
      <w:r>
        <w:rPr>
          <w:i/>
          <w:iCs/>
        </w:rPr>
        <w:t>rate was not. Please provide a brief scientific or statistical rationale within the text explaining why the log transformation was applied specifically to beta but not to alpha.”</w:t>
      </w:r>
    </w:p>
    <w:p w14:paraId="4BE736E2" w14:textId="77777777" w:rsidR="00CF5FDF" w:rsidRDefault="007741FB">
      <w:pPr>
        <w:pStyle w:val="Textbody"/>
        <w:rPr>
          <w:rFonts w:ascii="Arial" w:hAnsi="Arial"/>
        </w:rPr>
      </w:pPr>
      <w:r>
        <w:rPr>
          <w:rFonts w:ascii="Arial" w:hAnsi="Arial"/>
        </w:rPr>
        <w:t>Response 3: We thank the reviewer for pointing out this omission. The decision to apply a log transformation specifically to the inverse temperature (</w:t>
      </w:r>
      <m:oMath>
        <m:f>
          <m:fPr>
            <m:type m:val="lin"/>
            <m:ctrlPr>
              <w:rPr>
                <w:rFonts w:ascii="Cambria Math" w:hAnsi="Cambria Math"/>
              </w:rPr>
            </m:ctrlPr>
          </m:fPr>
          <m:num>
            <m:r>
              <w:rPr>
                <w:rFonts w:ascii="Cambria Math" w:hAnsi="Cambria Math"/>
              </w:rPr>
              <m:t>β</m:t>
            </m:r>
          </m:num>
          <m:den>
            <m:r>
              <w:rPr>
                <w:rFonts w:ascii="Cambria Math" w:hAnsi="Cambria Math"/>
              </w:rPr>
              <m:t>τ</m:t>
            </m:r>
          </m:den>
        </m:f>
      </m:oMath>
      <w:r>
        <w:rPr>
          <w:rFonts w:ascii="Arial" w:hAnsi="Arial"/>
        </w:rPr>
        <w:t>) was driven by both the theoretical bounds of the computational parameters and the statistical assumptions of Ordinary Least Squares (OLS) regression.</w:t>
      </w:r>
    </w:p>
    <w:p w14:paraId="4BE736E3" w14:textId="77777777" w:rsidR="00CF5FDF" w:rsidRDefault="007741FB">
      <w:pPr>
        <w:pStyle w:val="Textbody"/>
        <w:rPr>
          <w:rFonts w:ascii="Arial" w:hAnsi="Arial"/>
        </w:rPr>
      </w:pPr>
      <w:r>
        <w:rPr>
          <w:rFonts w:ascii="Arial" w:hAnsi="Arial"/>
        </w:rPr>
        <w:t xml:space="preserve">Scientifically, the learning </w:t>
      </w:r>
      <w:r>
        <w:rPr>
          <w:rFonts w:ascii="Arial" w:hAnsi="Arial"/>
        </w:rPr>
        <w:t>rate (</w:t>
      </w:r>
      <m:oMath>
        <m:r>
          <w:rPr>
            <w:rFonts w:ascii="Cambria Math" w:hAnsi="Cambria Math"/>
          </w:rPr>
          <m:t>α</m:t>
        </m:r>
      </m:oMath>
      <w:r>
        <w:rPr>
          <w:rFonts w:ascii="Arial" w:hAnsi="Arial"/>
        </w:rPr>
        <w:t>) is inherently bounded between 0 and 1, meaning its values and variance are naturally constrained. Conversely, the inverse temperature parameter is bounded at zero but unbounded at the upper end, typically spanning multiple orders of magnitude depending on a subject's exploration/exploitation threshold.</w:t>
      </w:r>
    </w:p>
    <w:p w14:paraId="4BE736E4" w14:textId="77777777" w:rsidR="00CF5FDF" w:rsidRDefault="007741FB">
      <w:pPr>
        <w:pStyle w:val="Textbody"/>
        <w:rPr>
          <w:rFonts w:ascii="Arial" w:hAnsi="Arial"/>
        </w:rPr>
      </w:pPr>
      <w:r>
        <w:rPr>
          <w:rFonts w:ascii="Arial" w:hAnsi="Arial"/>
        </w:rPr>
        <w:t xml:space="preserve">Statistically, this unbounded upper limit causes the raw inverse temperature distribution to be heavily right-skewed. When fitting our initial OLS models, diagnostic checks (e.g., </w:t>
      </w:r>
      <w:r>
        <w:rPr>
          <w:rFonts w:ascii="Arial" w:hAnsi="Arial"/>
        </w:rPr>
        <w:lastRenderedPageBreak/>
        <w:t xml:space="preserve">Omnibus and </w:t>
      </w:r>
      <w:r>
        <w:rPr>
          <w:rFonts w:ascii="Arial" w:hAnsi="Arial"/>
        </w:rPr>
        <w:t xml:space="preserve">Jarque-Bera tests) revealed that the residuals for the raw inverse temperature significantly violated the assumption of normality. Log-transforming this parameter successfully corrected the positive skew, normalized the residuals, and minimized the disproportionate leverage of extreme outliers, thereby ensuring the validity of the OLS model. Because </w:t>
      </w:r>
      <m:oMath>
        <m:r>
          <w:rPr>
            <w:rFonts w:ascii="Cambria Math" w:hAnsi="Cambria Math"/>
          </w:rPr>
          <m:t>α</m:t>
        </m:r>
      </m:oMath>
      <w:r>
        <w:rPr>
          <w:rFonts w:ascii="Arial" w:hAnsi="Arial"/>
        </w:rPr>
        <w:t xml:space="preserve"> does not exhibit this extreme magnitude scaling, it did not require transformation.</w:t>
      </w:r>
    </w:p>
    <w:p w14:paraId="4BE736E5" w14:textId="77777777" w:rsidR="00CF5FDF" w:rsidRDefault="007741FB">
      <w:pPr>
        <w:pStyle w:val="Textbody"/>
        <w:rPr>
          <w:rFonts w:ascii="Arial" w:hAnsi="Arial"/>
        </w:rPr>
      </w:pPr>
      <w:r>
        <w:rPr>
          <w:rFonts w:ascii="Arial" w:hAnsi="Arial"/>
        </w:rPr>
        <w:t>We have now explicitly added this rationale to Section 2.4.2 of the revised</w:t>
      </w:r>
      <w:r>
        <w:rPr>
          <w:rFonts w:ascii="Arial" w:hAnsi="Arial"/>
        </w:rPr>
        <w:t xml:space="preserve"> manuscript to ensure full methodological transparency.</w:t>
      </w:r>
    </w:p>
    <w:p w14:paraId="4BE736E6" w14:textId="77777777" w:rsidR="00CF5FDF" w:rsidRDefault="007741FB">
      <w:pPr>
        <w:pStyle w:val="Standard"/>
        <w:numPr>
          <w:ilvl w:val="0"/>
          <w:numId w:val="3"/>
        </w:numPr>
        <w:jc w:val="both"/>
        <w:rPr>
          <w:rFonts w:ascii="Helvetica Neue" w:hAnsi="Helvetica Neue"/>
          <w:color w:val="3465A4"/>
        </w:rPr>
      </w:pPr>
      <w:r>
        <w:rPr>
          <w:rFonts w:ascii="Helvetica Neue" w:eastAsia="Helvetica Neue" w:hAnsi="Helvetica Neue" w:cs="Helvetica Neue"/>
          <w:color w:val="3465A4"/>
        </w:rPr>
        <w:t xml:space="preserve">“To robustly account for the non-normal distribution of the estimates, the difference in group medians was computed through the methodological resampling of group labels. Following the assessment of main group effects, we investigated the relationship between these computational parameters and clinical symptomatology using Ordinary Least Squares (OLS) regression. Prior to these regression analyses, a log transformation was applied specifically to the </w:t>
      </w:r>
      <w:r>
        <w:rPr>
          <w:rFonts w:ascii="Helvetica Neue" w:eastAsia="Helvetica Neue" w:hAnsi="Helvetica Neue" w:cs="Helvetica Neue"/>
          <w:color w:val="3465A4"/>
        </w:rPr>
        <w:t>inverse temperature parameter (</w:t>
      </w:r>
      <m:oMath>
        <m:r>
          <w:rPr>
            <w:rFonts w:ascii="Cambria Math" w:hAnsi="Cambria Math"/>
          </w:rPr>
          <m:t>τ</m:t>
        </m:r>
      </m:oMath>
      <w:r>
        <w:rPr>
          <w:rFonts w:ascii="Helvetica Neue" w:eastAsia="Helvetica Neue" w:hAnsi="Helvetica Neue" w:cs="Helvetica Neue"/>
          <w:color w:val="3465A4"/>
        </w:rPr>
        <w:t xml:space="preserve">). Because </w:t>
      </w:r>
      <m:oMath>
        <m:r>
          <w:rPr>
            <w:rFonts w:ascii="Cambria Math" w:hAnsi="Cambria Math"/>
          </w:rPr>
          <m:t>τ</m:t>
        </m:r>
      </m:oMath>
      <w:r>
        <w:rPr>
          <w:rFonts w:ascii="Helvetica Neue" w:eastAsia="Helvetica Neue" w:hAnsi="Helvetica Neue" w:cs="Helvetica Neue"/>
          <w:color w:val="3465A4"/>
        </w:rPr>
        <w:t xml:space="preserve"> is theoretically unbounded at the upper end, its raw values exhibited a strong positive skew that violated the OLS assumption of normally distributed residuals. Log-transforming this parameter corrected the skew and stabilized the variance, ensuring robust model fits, whereas the naturally bounded learning rate (</w:t>
      </w:r>
      <m:oMath>
        <m:r>
          <w:rPr>
            <w:rFonts w:ascii="Cambria Math" w:hAnsi="Cambria Math"/>
          </w:rPr>
          <m:t>α</m:t>
        </m:r>
      </m:oMath>
      <w:r>
        <w:rPr>
          <w:rFonts w:ascii="Helvetica Neue" w:eastAsia="Helvetica Neue" w:hAnsi="Helvetica Neue" w:cs="Helvetica Neue"/>
          <w:color w:val="3465A4"/>
        </w:rPr>
        <w:t xml:space="preserve">) required no such transformation.” </w:t>
      </w:r>
      <w:r>
        <w:rPr>
          <w:rFonts w:ascii="Helvetica Neue" w:eastAsia="Helvetica Neue" w:hAnsi="Helvetica Neue" w:cs="Helvetica Neue"/>
          <w:color w:val="000000"/>
        </w:rPr>
        <w:t>(lines 216 – 224)</w:t>
      </w:r>
    </w:p>
    <w:p w14:paraId="4BE736E7" w14:textId="77777777" w:rsidR="00CF5FDF" w:rsidRDefault="00CF5FDF">
      <w:pPr>
        <w:pStyle w:val="Textbody"/>
        <w:rPr>
          <w:rFonts w:ascii="Arial" w:hAnsi="Arial"/>
        </w:rPr>
      </w:pPr>
    </w:p>
    <w:p w14:paraId="4BE736E8" w14:textId="77777777" w:rsidR="00CF5FDF" w:rsidRDefault="00CF5FDF">
      <w:pPr>
        <w:pStyle w:val="Textbody"/>
        <w:rPr>
          <w:rFonts w:ascii="Arial" w:hAnsi="Arial"/>
        </w:rPr>
      </w:pPr>
    </w:p>
    <w:p w14:paraId="4BE736E9" w14:textId="77777777" w:rsidR="00CF5FDF" w:rsidRDefault="007741FB">
      <w:pPr>
        <w:pStyle w:val="Textbody"/>
      </w:pPr>
      <w:r>
        <w:t xml:space="preserve">Comment 4: </w:t>
      </w:r>
      <w:r>
        <w:rPr>
          <w:i/>
          <w:iCs/>
        </w:rPr>
        <w:t xml:space="preserve">“How do their findings stand in relation to the recently developed imprecision model of </w:t>
      </w:r>
      <w:r>
        <w:rPr>
          <w:i/>
          <w:iCs/>
        </w:rPr>
        <w:t>SZ and the concept of spatiotemporal psychopathology by the group around Northoff..may be a good discussion point with explicit reference..”</w:t>
      </w:r>
    </w:p>
    <w:p w14:paraId="4BE736EA" w14:textId="77777777" w:rsidR="00CF5FDF" w:rsidRDefault="007741FB">
      <w:pPr>
        <w:pStyle w:val="Textbody"/>
        <w:rPr>
          <w:rFonts w:ascii="Arial" w:hAnsi="Arial"/>
          <w:color w:val="000000"/>
        </w:rPr>
      </w:pPr>
      <w:r>
        <w:rPr>
          <w:rFonts w:ascii="Arial" w:hAnsi="Arial"/>
          <w:color w:val="000000"/>
        </w:rPr>
        <w:t>Response 4:  We thank reviwer  for contribution to the discussion. We explicitly point the spatiotemporal psychopathology our relationship for the findings of temporal  imprecision.</w:t>
      </w:r>
    </w:p>
    <w:p w14:paraId="4BE736EB" w14:textId="77777777" w:rsidR="00CF5FDF" w:rsidRDefault="007741FB">
      <w:pPr>
        <w:pStyle w:val="Standard"/>
        <w:numPr>
          <w:ilvl w:val="0"/>
          <w:numId w:val="4"/>
        </w:numPr>
        <w:spacing w:after="240"/>
        <w:jc w:val="both"/>
        <w:rPr>
          <w:rFonts w:ascii="Helvetica Neue" w:hAnsi="Helvetica Neue"/>
          <w:color w:val="3465A4"/>
        </w:rPr>
      </w:pPr>
      <w:r>
        <w:rPr>
          <w:rFonts w:ascii="Helvetica Neue" w:hAnsi="Helvetica Neue"/>
          <w:color w:val="3465A4"/>
        </w:rPr>
        <w:t xml:space="preserve">...“Behaviorally, standard reinforcement learning models poorly described patient choices, evidenced by severely reduced </w:t>
      </w:r>
      <w:r>
        <w:rPr>
          <w:rFonts w:ascii="Helvetica Neue" w:eastAsia="Helvetica Neue" w:hAnsi="Helvetica Neue" w:cs="Helvetica Neue"/>
          <w:color w:val="3465A4"/>
        </w:rPr>
        <w:t>Pseudo-R</w:t>
      </w:r>
      <w:r>
        <w:rPr>
          <w:rFonts w:ascii="Helvetica Neue" w:eastAsia="Helvetica Neue" w:hAnsi="Helvetica Neue" w:cs="Helvetica Neue"/>
          <w:color w:val="3465A4"/>
          <w:vertAlign w:val="superscript"/>
        </w:rPr>
        <w:t>2</w:t>
      </w:r>
      <w:r>
        <w:rPr>
          <w:rFonts w:ascii="Helvetica Neue" w:hAnsi="Helvetica Neue"/>
          <w:color w:val="3465A4"/>
        </w:rPr>
        <w:t xml:space="preserve"> and blunted learning rates </w:t>
      </w:r>
      <w:r>
        <w:rPr>
          <w:rFonts w:ascii="Helvetica Neue" w:eastAsia="Helvetica Neue" w:hAnsi="Helvetica Neue" w:cs="Helvetica Neue"/>
          <w:color w:val="3465A4"/>
        </w:rPr>
        <w:t>(</w:t>
      </w:r>
      <m:oMath>
        <m:r>
          <w:rPr>
            <w:rFonts w:ascii="Cambria Math" w:hAnsi="Cambria Math"/>
          </w:rPr>
          <m:t>α</m:t>
        </m:r>
      </m:oMath>
      <w:r>
        <w:rPr>
          <w:rFonts w:ascii="Helvetica Neue" w:eastAsia="Helvetica Neue" w:hAnsi="Helvetica Neue" w:cs="Helvetica Neue"/>
          <w:color w:val="3465A4"/>
        </w:rPr>
        <w:t xml:space="preserve">). </w:t>
      </w:r>
      <w:r>
        <w:rPr>
          <w:rFonts w:ascii="Helvetica Neue" w:hAnsi="Helvetica Neue"/>
          <w:color w:val="3465A4"/>
        </w:rPr>
        <w:t xml:space="preserve"> Strikingly, a </w:t>
      </w:r>
      <w:r>
        <w:rPr>
          <w:rFonts w:ascii="Helvetica Neue" w:hAnsi="Helvetica Neue"/>
          <w:color w:val="3465A4"/>
        </w:rPr>
        <w:t xml:space="preserve">zero-parameter null model best fit most patients, indicating a profound failure to integrate trial-by-trial social feedback. Rather than dynamically updating expected values, patient decisions were highly stochastic. This aligns with findings that schizophrenia patients exhibit fundamentally inconsistent preference judgments </w:t>
      </w:r>
      <w:bookmarkStart w:id="0" w:name="ZOTERO_BREF_mPBy5hwwx8bO"/>
      <w:r>
        <w:rPr>
          <w:rFonts w:ascii="Helvetica Neue" w:hAnsi="Helvetica Neue"/>
          <w:color w:val="3465A4"/>
        </w:rPr>
        <w:t>(35)</w:t>
      </w:r>
      <w:bookmarkEnd w:id="0"/>
      <w:r>
        <w:rPr>
          <w:rFonts w:ascii="Helvetica Neue" w:hAnsi="Helvetica Neue"/>
          <w:color w:val="3465A4"/>
        </w:rPr>
        <w:t xml:space="preserve">, and that systemic "imprecision" might be a core pathophysiological mechanism </w:t>
      </w:r>
      <w:bookmarkStart w:id="1" w:name="ZOTERO_BREF_PCStAFXMF8Au"/>
      <w:r>
        <w:rPr>
          <w:rFonts w:ascii="Helvetica Neue" w:hAnsi="Helvetica Neue"/>
          <w:color w:val="3465A4"/>
        </w:rPr>
        <w:t>(36)</w:t>
      </w:r>
      <w:bookmarkEnd w:id="1"/>
      <w:r>
        <w:rPr>
          <w:rFonts w:ascii="Helvetica Neue" w:hAnsi="Helvetica Neue"/>
          <w:color w:val="3465A4"/>
        </w:rPr>
        <w:t>.</w:t>
      </w:r>
    </w:p>
    <w:p w14:paraId="4BE736EC" w14:textId="77777777" w:rsidR="00CF5FDF" w:rsidRDefault="007741FB">
      <w:pPr>
        <w:pStyle w:val="Standard"/>
        <w:rPr>
          <w:rFonts w:ascii="Helvetica Neue" w:hAnsi="Helvetica Neue"/>
          <w:color w:val="3465A4"/>
        </w:rPr>
      </w:pPr>
      <w:r>
        <w:rPr>
          <w:rFonts w:ascii="Helvetica Neue" w:hAnsi="Helvetica Neue"/>
          <w:color w:val="3465A4"/>
        </w:rPr>
        <w:t xml:space="preserve">Importantly, our findings align closely with the recently developed concept of spatiotemporal </w:t>
      </w:r>
      <w:r>
        <w:rPr>
          <w:rFonts w:ascii="Helvetica Neue" w:hAnsi="Helvetica Neue"/>
          <w:color w:val="3465A4"/>
        </w:rPr>
        <w:t xml:space="preserve">psychopathology advanced by the group around Northoff </w:t>
      </w:r>
      <w:bookmarkStart w:id="2" w:name="ZOTERO_BREF_SSvM32OwjYAp"/>
      <w:r>
        <w:rPr>
          <w:rFonts w:ascii="Helvetica Neue" w:hAnsi="Helvetica Neue"/>
          <w:color w:val="3465A4"/>
        </w:rPr>
        <w:t>(36–38)</w:t>
      </w:r>
      <w:bookmarkEnd w:id="2"/>
      <w:r>
        <w:rPr>
          <w:rFonts w:ascii="Helvetica Neue" w:hAnsi="Helvetica Neue"/>
          <w:color w:val="3465A4"/>
        </w:rPr>
        <w:t xml:space="preserve">. Their framework conceptualizes schizophrenia fundamentally as a disorder of temporal imprecision, a deficit evident across both neural and behavioral accounts. In our Trust Game, the severe reduction in inverse temperature </w:t>
      </w:r>
      <w:r>
        <w:rPr>
          <w:rFonts w:ascii="Helvetica Neue" w:eastAsia="Helvetica Neue" w:hAnsi="Helvetica Neue" w:cs="Helvetica Neue"/>
          <w:color w:val="3465A4"/>
        </w:rPr>
        <w:t>(</w:t>
      </w:r>
      <m:oMath>
        <m:r>
          <w:rPr>
            <w:rFonts w:ascii="Cambria Math" w:hAnsi="Cambria Math"/>
          </w:rPr>
          <m:t>β</m:t>
        </m:r>
      </m:oMath>
      <w:r>
        <w:rPr>
          <w:rFonts w:ascii="Helvetica Neue" w:eastAsia="Helvetica Neue" w:hAnsi="Helvetica Neue" w:cs="Helvetica Neue"/>
          <w:color w:val="3465A4"/>
        </w:rPr>
        <w:t>)</w:t>
      </w:r>
      <w:r>
        <w:rPr>
          <w:rFonts w:ascii="Helvetica Neue" w:hAnsi="Helvetica Neue"/>
          <w:color w:val="3465A4"/>
        </w:rPr>
        <w:t xml:space="preserve">, indexing choice precision, suggests this imprecision disrupts higher-order social valuation, rendering patients incapable of utilizing positive feedback to guide consistent behavior.” </w:t>
      </w:r>
      <w:r>
        <w:rPr>
          <w:rFonts w:ascii="Helvetica Neue" w:hAnsi="Helvetica Neue"/>
          <w:color w:val="000000"/>
        </w:rPr>
        <w:t>(Section 4.2, lines 379-390)</w:t>
      </w:r>
    </w:p>
    <w:p w14:paraId="4BE736ED" w14:textId="77777777" w:rsidR="00CF5FDF" w:rsidRDefault="00CF5FDF">
      <w:pPr>
        <w:pStyle w:val="Standard"/>
        <w:rPr>
          <w:sz w:val="20"/>
          <w:szCs w:val="20"/>
        </w:rPr>
      </w:pPr>
    </w:p>
    <w:p w14:paraId="4BE736EE" w14:textId="77777777" w:rsidR="00CF5FDF" w:rsidRDefault="00CF5FDF">
      <w:pPr>
        <w:pStyle w:val="Textbody"/>
      </w:pPr>
    </w:p>
    <w:p w14:paraId="4BE736EF" w14:textId="77777777" w:rsidR="00CF5FDF" w:rsidRDefault="007741FB">
      <w:pPr>
        <w:pStyle w:val="Heading1"/>
      </w:pPr>
      <w:r>
        <w:lastRenderedPageBreak/>
        <w:t>Reviewer 2</w:t>
      </w:r>
    </w:p>
    <w:p w14:paraId="4BE736F0" w14:textId="77777777" w:rsidR="00CF5FDF" w:rsidRDefault="007741FB">
      <w:pPr>
        <w:pStyle w:val="Textbody"/>
      </w:pPr>
      <w:r>
        <w:t xml:space="preserve">Comment 1: </w:t>
      </w:r>
      <w:r>
        <w:rPr>
          <w:i/>
          <w:iCs/>
        </w:rPr>
        <w:t>“Please clarify how the matching procedure for age, sex and education was done.”</w:t>
      </w:r>
    </w:p>
    <w:p w14:paraId="4BE736F1" w14:textId="77777777" w:rsidR="00CF5FDF" w:rsidRDefault="007741FB">
      <w:pPr>
        <w:pStyle w:val="Textbody"/>
      </w:pPr>
      <w:r>
        <w:t xml:space="preserve">Response 1: </w:t>
      </w:r>
      <w:r>
        <w:rPr>
          <w:rFonts w:ascii="Arial" w:hAnsi="Arial"/>
        </w:rPr>
        <w:t xml:space="preserve">We thank the reviewer for pointing this out. We have clarified the matching procedure in the revised manuscript. Specifically, the healthy control group was matched to the schizophrenia group at the group level. To confirm the matching, we assessed group differences in continuous variables (age and years of education) using independent samples t-tests, and categorical variables (sex </w:t>
      </w:r>
      <w:r>
        <w:rPr>
          <w:rFonts w:ascii="Arial" w:hAnsi="Arial"/>
        </w:rPr>
        <w:t>distribution) using a Chi-square test. These analyses confirmed that there were no significant demographic differences between the two groups.</w:t>
      </w:r>
    </w:p>
    <w:p w14:paraId="4BE736F2" w14:textId="77777777" w:rsidR="00CF5FDF" w:rsidRDefault="007741FB">
      <w:pPr>
        <w:pStyle w:val="Textbody"/>
        <w:numPr>
          <w:ilvl w:val="0"/>
          <w:numId w:val="5"/>
        </w:numPr>
        <w:rPr>
          <w:rFonts w:ascii="Arial" w:hAnsi="Arial"/>
        </w:rPr>
      </w:pPr>
      <w:r>
        <w:rPr>
          <w:rFonts w:ascii="Helvetica Neue" w:hAnsi="Helvetica Neue" w:cs="Arial"/>
          <w:color w:val="2A6099"/>
        </w:rPr>
        <w:t>“...</w:t>
      </w:r>
      <w:r>
        <w:rPr>
          <w:rFonts w:ascii="Helvetica Neue" w:eastAsia="Helvetica Neue" w:hAnsi="Helvetica Neue" w:cs="Helvetica Neue"/>
          <w:color w:val="2A6099"/>
        </w:rPr>
        <w:t>A total of 49 right-handed healthy controls (HC) were recruited via advertisements and social media platforms. The HC group was matched to the SZ group at he group level. The equivalence between groups in terms of age, sex and years of education was confirmed using independent samples t-tests for continuous variables and Pearson</w:t>
      </w:r>
      <w:r>
        <w:rPr>
          <w:rFonts w:ascii="Helvetica Neue" w:eastAsia="Helvetica Neue" w:hAnsi="Helvetica Neue" w:cs="Helvetica Neue"/>
          <w:color w:val="2A6099"/>
          <w:kern w:val="0"/>
          <w:lang w:val="en-US" w:eastAsia="en-US" w:bidi="ar-SA"/>
        </w:rPr>
        <w:t xml:space="preserve">’s chi-square test for categorical </w:t>
      </w:r>
      <w:r>
        <w:rPr>
          <w:rFonts w:ascii="Helvetica Neue" w:eastAsia="Helvetica Neue" w:hAnsi="Helvetica Neue" w:cs="Helvetica Neue"/>
          <w:color w:val="2A6099"/>
          <w:kern w:val="0"/>
          <w:lang w:val="en-US" w:eastAsia="en-US" w:bidi="ar-SA"/>
        </w:rPr>
        <w:t>variables, ensuring no significant differences (all p&gt;0.05).”</w:t>
      </w:r>
      <w:r>
        <w:rPr>
          <w:rFonts w:ascii="Helvetica Neue" w:eastAsia="Helvetica Neue" w:hAnsi="Helvetica Neue" w:cs="Helvetica Neue"/>
          <w:color w:val="0E0E0E"/>
        </w:rPr>
        <w:t xml:space="preserve"> </w:t>
      </w:r>
      <w:r>
        <w:rPr>
          <w:rFonts w:ascii="Arial" w:eastAsia="Helvetica Neue" w:hAnsi="Arial" w:cs="Helvetica Neue"/>
          <w:color w:val="0E0E0E"/>
        </w:rPr>
        <w:t xml:space="preserve">(2.1 Participants, </w:t>
      </w:r>
      <w:r>
        <w:rPr>
          <w:rFonts w:ascii="Arial" w:eastAsia="Helvetica Neue" w:hAnsi="Arial" w:cs="Helvetica Neue"/>
          <w:color w:val="0E0E0E"/>
        </w:rPr>
        <w:t>line 126-131)</w:t>
      </w:r>
    </w:p>
    <w:p w14:paraId="4BE736F3" w14:textId="77777777" w:rsidR="00CF5FDF" w:rsidRDefault="00CF5FDF">
      <w:pPr>
        <w:pStyle w:val="Textbody"/>
        <w:rPr>
          <w:rFonts w:ascii="Arial" w:eastAsia="Helvetica Neue" w:hAnsi="Arial" w:cs="Helvetica Neue"/>
          <w:color w:val="0E0E0E"/>
          <w:sz w:val="20"/>
          <w:szCs w:val="20"/>
          <w:shd w:val="clear" w:color="auto" w:fill="FFFF00"/>
        </w:rPr>
      </w:pPr>
    </w:p>
    <w:p w14:paraId="4BE736F4" w14:textId="77777777" w:rsidR="00CF5FDF" w:rsidRDefault="00CF5FDF">
      <w:pPr>
        <w:pStyle w:val="Textbody"/>
        <w:rPr>
          <w:rFonts w:ascii="Arial" w:hAnsi="Arial"/>
        </w:rPr>
      </w:pPr>
    </w:p>
    <w:p w14:paraId="4BE736F5" w14:textId="77777777" w:rsidR="00CF5FDF" w:rsidRDefault="007741FB">
      <w:pPr>
        <w:pStyle w:val="Standard"/>
      </w:pPr>
      <w:r>
        <w:t xml:space="preserve">Comment 2: </w:t>
      </w:r>
      <w:r>
        <w:rPr>
          <w:i/>
          <w:iCs/>
        </w:rPr>
        <w:t>“How long were patients ill? Were there any first episode patients?”</w:t>
      </w:r>
    </w:p>
    <w:p w14:paraId="4BE736F6" w14:textId="77777777" w:rsidR="00CF5FDF" w:rsidRDefault="00CF5FDF">
      <w:pPr>
        <w:pStyle w:val="Standard"/>
        <w:rPr>
          <w:i/>
          <w:iCs/>
        </w:rPr>
      </w:pPr>
    </w:p>
    <w:p w14:paraId="4BE736F7" w14:textId="77777777" w:rsidR="00CF5FDF" w:rsidRDefault="007741FB">
      <w:pPr>
        <w:pStyle w:val="Standard"/>
      </w:pPr>
      <w:r>
        <w:t xml:space="preserve">Response 2: </w:t>
      </w:r>
      <w:r>
        <w:rPr>
          <w:rFonts w:ascii="Arial" w:hAnsi="Arial"/>
        </w:rPr>
        <w:t>We thank the reviewer for requesting this clinical clarification. The mean duration of illness for the schizophrenia cohort was 13.72 ± 10.23 years. We confirm that there were no acute first-episode patients included in this study.</w:t>
      </w:r>
    </w:p>
    <w:p w14:paraId="4BE736F8" w14:textId="77777777" w:rsidR="00CF5FDF" w:rsidRDefault="00CF5FDF">
      <w:pPr>
        <w:pStyle w:val="Standard"/>
        <w:rPr>
          <w:rFonts w:ascii="Arial" w:hAnsi="Arial"/>
        </w:rPr>
      </w:pPr>
    </w:p>
    <w:p w14:paraId="4BE736F9" w14:textId="77777777" w:rsidR="00CF5FDF" w:rsidRDefault="007741FB">
      <w:pPr>
        <w:pStyle w:val="Standard"/>
        <w:numPr>
          <w:ilvl w:val="0"/>
          <w:numId w:val="6"/>
        </w:numPr>
        <w:rPr>
          <w:rFonts w:ascii="Arial" w:hAnsi="Arial"/>
          <w:color w:val="2A6099"/>
        </w:rPr>
      </w:pPr>
      <w:r>
        <w:rPr>
          <w:rFonts w:ascii="Helvetica Neue" w:hAnsi="Helvetica Neue"/>
          <w:color w:val="2A6099"/>
        </w:rPr>
        <w:t xml:space="preserve">“...The mean duration of illness for the SZ group was 13.72 ± 10.23 years (see Table 1). </w:t>
      </w:r>
      <w:r>
        <w:rPr>
          <w:rFonts w:ascii="Helvetica Neue" w:hAnsi="Helvetica Neue"/>
          <w:color w:val="2A6099"/>
        </w:rPr>
        <w:t xml:space="preserve">The clinical sample consisted of individuals with a chronic course of the illness, and no first-episode patients were included.” </w:t>
      </w:r>
      <w:r>
        <w:rPr>
          <w:rFonts w:ascii="Arial" w:eastAsia="Helvetica Neue" w:hAnsi="Arial" w:cs="Helvetica Neue"/>
          <w:color w:val="0E0E0E"/>
        </w:rPr>
        <w:t xml:space="preserve">(2.1 Participants, </w:t>
      </w:r>
      <w:r>
        <w:rPr>
          <w:rFonts w:ascii="Arial" w:eastAsia="Helvetica Neue" w:hAnsi="Arial" w:cs="Helvetica Neue"/>
          <w:color w:val="0E0E0E"/>
        </w:rPr>
        <w:t>line 140 -142)</w:t>
      </w:r>
    </w:p>
    <w:p w14:paraId="4BE736FA" w14:textId="77777777" w:rsidR="00CF5FDF" w:rsidRDefault="00CF5FDF">
      <w:pPr>
        <w:pStyle w:val="Standard"/>
        <w:rPr>
          <w:rFonts w:ascii="Arial" w:hAnsi="Arial"/>
        </w:rPr>
      </w:pPr>
    </w:p>
    <w:p w14:paraId="4BE736FB" w14:textId="77777777" w:rsidR="00CF5FDF" w:rsidRDefault="00CF5FDF">
      <w:pPr>
        <w:pStyle w:val="Standard"/>
        <w:rPr>
          <w:rFonts w:ascii="Arial" w:hAnsi="Arial"/>
          <w:sz w:val="20"/>
          <w:szCs w:val="20"/>
        </w:rPr>
      </w:pPr>
    </w:p>
    <w:p w14:paraId="4BE736FC" w14:textId="77777777" w:rsidR="00CF5FDF" w:rsidRDefault="00CF5FDF">
      <w:pPr>
        <w:pStyle w:val="Standard"/>
        <w:rPr>
          <w:rFonts w:ascii="Arial" w:hAnsi="Arial"/>
          <w:sz w:val="20"/>
          <w:szCs w:val="20"/>
        </w:rPr>
      </w:pPr>
    </w:p>
    <w:p w14:paraId="4BE736FD" w14:textId="77777777" w:rsidR="00CF5FDF" w:rsidRDefault="00CF5FDF">
      <w:pPr>
        <w:pStyle w:val="Standard"/>
        <w:rPr>
          <w:rFonts w:ascii="Arial" w:hAnsi="Arial"/>
          <w:sz w:val="20"/>
          <w:szCs w:val="20"/>
        </w:rPr>
      </w:pPr>
    </w:p>
    <w:p w14:paraId="4BE736FE" w14:textId="77777777" w:rsidR="00CF5FDF" w:rsidRDefault="007741FB">
      <w:pPr>
        <w:pStyle w:val="Standard"/>
      </w:pPr>
      <w:r>
        <w:t xml:space="preserve">Comment 3: </w:t>
      </w:r>
      <w:r>
        <w:rPr>
          <w:i/>
          <w:iCs/>
        </w:rPr>
        <w:t>“Has SPM12 been used, or which version?”</w:t>
      </w:r>
    </w:p>
    <w:p w14:paraId="4BE736FF" w14:textId="77777777" w:rsidR="00CF5FDF" w:rsidRDefault="00CF5FDF">
      <w:pPr>
        <w:pStyle w:val="Standard"/>
      </w:pPr>
    </w:p>
    <w:p w14:paraId="4BE73700" w14:textId="77777777" w:rsidR="00CF5FDF" w:rsidRDefault="007741FB">
      <w:pPr>
        <w:pStyle w:val="Standard"/>
      </w:pPr>
      <w:r>
        <w:t xml:space="preserve">Response 3: </w:t>
      </w:r>
      <w:r>
        <w:rPr>
          <w:rFonts w:ascii="Arial" w:hAnsi="Arial"/>
        </w:rPr>
        <w:t>We thank the reviewer for this question. We used the latest 2025 version of the software, which was recently renamed from “SPM12” to simply “SPM”. We have updated the manuscript to reflect this.</w:t>
      </w:r>
    </w:p>
    <w:p w14:paraId="4BE73701" w14:textId="77777777" w:rsidR="00CF5FDF" w:rsidRDefault="00CF5FDF">
      <w:pPr>
        <w:pStyle w:val="Standard"/>
        <w:rPr>
          <w:rFonts w:ascii="Arial" w:hAnsi="Arial"/>
        </w:rPr>
      </w:pPr>
    </w:p>
    <w:p w14:paraId="4BE73702" w14:textId="77777777" w:rsidR="00CF5FDF" w:rsidRDefault="007741FB">
      <w:pPr>
        <w:pStyle w:val="Standard"/>
        <w:keepNext/>
        <w:keepLines/>
        <w:numPr>
          <w:ilvl w:val="0"/>
          <w:numId w:val="7"/>
        </w:numPr>
        <w:spacing w:before="160" w:after="80" w:line="278" w:lineRule="auto"/>
        <w:jc w:val="both"/>
        <w:rPr>
          <w:rFonts w:ascii="Arial" w:hAnsi="Arial"/>
          <w:color w:val="2A6099"/>
        </w:rPr>
      </w:pPr>
      <w:r>
        <w:rPr>
          <w:rFonts w:ascii="Helvetica Neue" w:eastAsia="Helvetica Neue" w:hAnsi="Helvetica Neue" w:cs="Helvetica Neue"/>
          <w:color w:val="2A6099"/>
        </w:rPr>
        <w:t>“... Standard preprocessing was conducted using the recent 2025 release of SPM, ...”</w:t>
      </w:r>
      <w:r>
        <w:rPr>
          <w:rFonts w:ascii="Arial" w:eastAsia="Helvetica Neue" w:hAnsi="Arial" w:cs="Helvetica Neue"/>
          <w:color w:val="2A6099"/>
        </w:rPr>
        <w:t xml:space="preserve">  </w:t>
      </w:r>
      <w:r>
        <w:rPr>
          <w:rFonts w:ascii="Arial" w:eastAsia="Helvetica Neue" w:hAnsi="Arial" w:cs="Helvetica Neue"/>
          <w:color w:val="000000"/>
        </w:rPr>
        <w:t xml:space="preserve">(2.5 fMRI Data Acquisition and Preprocessing, </w:t>
      </w:r>
      <w:r>
        <w:rPr>
          <w:rFonts w:ascii="Arial" w:eastAsia="Helvetica Neue" w:hAnsi="Arial" w:cs="Helvetica Neue"/>
          <w:color w:val="000000"/>
        </w:rPr>
        <w:t>lines 246-247 )</w:t>
      </w:r>
    </w:p>
    <w:p w14:paraId="4BE73703" w14:textId="77777777" w:rsidR="00CF5FDF" w:rsidRDefault="00CF5FDF">
      <w:pPr>
        <w:pStyle w:val="Standard"/>
      </w:pPr>
    </w:p>
    <w:p w14:paraId="4BE73704" w14:textId="77777777" w:rsidR="00CF5FDF" w:rsidRDefault="00CF5FDF">
      <w:pPr>
        <w:pStyle w:val="Standard"/>
      </w:pPr>
    </w:p>
    <w:p w14:paraId="4BE73705" w14:textId="77777777" w:rsidR="00CF5FDF" w:rsidRDefault="00CF5FDF">
      <w:pPr>
        <w:pStyle w:val="Standard"/>
      </w:pPr>
    </w:p>
    <w:p w14:paraId="4BE73706" w14:textId="77777777" w:rsidR="00CF5FDF" w:rsidRDefault="00CF5FDF">
      <w:pPr>
        <w:pStyle w:val="Standard"/>
      </w:pPr>
    </w:p>
    <w:p w14:paraId="4BE73707" w14:textId="77777777" w:rsidR="00CF5FDF" w:rsidRDefault="007741FB">
      <w:pPr>
        <w:pStyle w:val="Standard"/>
      </w:pPr>
      <w:r>
        <w:t xml:space="preserve">Comment 4: </w:t>
      </w:r>
      <w:r>
        <w:rPr>
          <w:i/>
          <w:iCs/>
        </w:rPr>
        <w:t>“Please also include details on the scanner and sequence used to obtain the BOLD signal.”</w:t>
      </w:r>
    </w:p>
    <w:p w14:paraId="4BE73708" w14:textId="77777777" w:rsidR="00CF5FDF" w:rsidRDefault="00CF5FDF">
      <w:pPr>
        <w:pStyle w:val="Standard"/>
        <w:rPr>
          <w:i/>
          <w:iCs/>
        </w:rPr>
      </w:pPr>
    </w:p>
    <w:p w14:paraId="4BE73709" w14:textId="77777777" w:rsidR="00CF5FDF" w:rsidRDefault="007741FB">
      <w:pPr>
        <w:pStyle w:val="Standard"/>
      </w:pPr>
      <w:r>
        <w:lastRenderedPageBreak/>
        <w:t xml:space="preserve">Response 4: </w:t>
      </w:r>
      <w:r>
        <w:rPr>
          <w:rFonts w:ascii="Arial" w:hAnsi="Arial"/>
        </w:rPr>
        <w:t>We agree with the reviewer that essential acquisition details should be available in the main text. We have now included the scanner model and the core BOLD sequence parameters (including TR, TE, flip angle, and voxel size) directly in the manuscript.</w:t>
      </w:r>
    </w:p>
    <w:p w14:paraId="4BE7370A" w14:textId="77777777" w:rsidR="00CF5FDF" w:rsidRDefault="00CF5FDF">
      <w:pPr>
        <w:pStyle w:val="Standard"/>
      </w:pPr>
    </w:p>
    <w:p w14:paraId="4BE7370B" w14:textId="77777777" w:rsidR="00CF5FDF" w:rsidRDefault="007741FB">
      <w:pPr>
        <w:pStyle w:val="Standard"/>
        <w:numPr>
          <w:ilvl w:val="0"/>
          <w:numId w:val="8"/>
        </w:numPr>
        <w:rPr>
          <w:rFonts w:ascii="Arial" w:hAnsi="Arial"/>
          <w:color w:val="2A6099"/>
          <w:sz w:val="20"/>
          <w:szCs w:val="20"/>
        </w:rPr>
      </w:pPr>
      <w:r>
        <w:rPr>
          <w:rFonts w:ascii="Helvetica Neue" w:hAnsi="Helvetica Neue"/>
          <w:color w:val="2A6099"/>
        </w:rPr>
        <w:t>“</w:t>
      </w:r>
      <w:r>
        <w:rPr>
          <w:rFonts w:ascii="Helvetica Neue" w:eastAsia="Helvetica Neue" w:hAnsi="Helvetica Neue" w:cs="Helvetica Neue"/>
          <w:color w:val="2A6099"/>
        </w:rPr>
        <w:t>Functional imaging (fMRI) was performed using a 3.0-Tesla scanner</w:t>
      </w:r>
      <w:r>
        <w:rPr>
          <w:rFonts w:ascii="Helvetica Neue" w:hAnsi="Helvetica Neue"/>
          <w:color w:val="2A6099"/>
        </w:rPr>
        <w:t xml:space="preserve">(Siemens </w:t>
      </w:r>
      <w:r>
        <w:rPr>
          <w:rFonts w:ascii="Helvetica Neue" w:hAnsi="Helvetica Neue"/>
          <w:color w:val="2A6099"/>
        </w:rPr>
        <w:t xml:space="preserve">Magnetom Verio, Erlangen, Germany) equipped with a 12-channel head coil. A 24-minute and 54-second task- based fMRI scan (utilizing the Trust Game paradigm) was acquired with the following core parameters: repetition time (TR) = 3000 ms, echo time (TE) = 30 ms, flip angle (FA) = 90°, voxel size 3x3x3 mm, matrix = 64x64, and the field of view (FOV) = 192x192 mm...”  </w:t>
      </w:r>
      <w:r>
        <w:rPr>
          <w:rFonts w:ascii="Arial" w:eastAsia="Helvetica Neue" w:hAnsi="Arial" w:cs="Helvetica Neue"/>
          <w:color w:val="000000"/>
          <w:sz w:val="20"/>
          <w:szCs w:val="20"/>
        </w:rPr>
        <w:t>(</w:t>
      </w:r>
      <w:r>
        <w:rPr>
          <w:rFonts w:ascii="Arial" w:eastAsia="Helvetica Neue" w:hAnsi="Arial" w:cs="Helvetica Neue"/>
          <w:color w:val="000000"/>
        </w:rPr>
        <w:t xml:space="preserve">2.5 fMRI Data Acquisition and Preprocessing, </w:t>
      </w:r>
      <w:r>
        <w:rPr>
          <w:rFonts w:ascii="Arial" w:eastAsia="Helvetica Neue" w:hAnsi="Arial" w:cs="Helvetica Neue"/>
          <w:color w:val="000000"/>
        </w:rPr>
        <w:t>line 241-246)</w:t>
      </w:r>
    </w:p>
    <w:p w14:paraId="4BE7370C" w14:textId="77777777" w:rsidR="00CF5FDF" w:rsidRDefault="00CF5FDF">
      <w:pPr>
        <w:pStyle w:val="Standard"/>
        <w:rPr>
          <w:rFonts w:ascii="Arial" w:hAnsi="Arial"/>
          <w:color w:val="2A6099"/>
        </w:rPr>
      </w:pPr>
    </w:p>
    <w:p w14:paraId="4BE7370D" w14:textId="77777777" w:rsidR="00CF5FDF" w:rsidRDefault="007741FB">
      <w:pPr>
        <w:pStyle w:val="Standard"/>
        <w:rPr>
          <w:rFonts w:ascii="Arial" w:hAnsi="Arial"/>
          <w:sz w:val="20"/>
          <w:szCs w:val="20"/>
        </w:rPr>
      </w:pPr>
      <w:r>
        <w:rPr>
          <w:rFonts w:ascii="Arial" w:hAnsi="Arial"/>
          <w:sz w:val="20"/>
          <w:szCs w:val="20"/>
        </w:rPr>
        <w:t xml:space="preserve"> </w:t>
      </w:r>
    </w:p>
    <w:p w14:paraId="4BE7370E" w14:textId="77777777" w:rsidR="00CF5FDF" w:rsidRDefault="00CF5FDF">
      <w:pPr>
        <w:pStyle w:val="Standard"/>
      </w:pPr>
    </w:p>
    <w:p w14:paraId="4BE7370F" w14:textId="77777777" w:rsidR="00CF5FDF" w:rsidRDefault="00CF5FDF">
      <w:pPr>
        <w:pStyle w:val="Standard"/>
      </w:pPr>
    </w:p>
    <w:p w14:paraId="4BE73710" w14:textId="77777777" w:rsidR="00CF5FDF" w:rsidRDefault="007741FB">
      <w:pPr>
        <w:pStyle w:val="Standard"/>
      </w:pPr>
      <w:r>
        <w:t xml:space="preserve">Comment 5: </w:t>
      </w:r>
      <w:r>
        <w:rPr>
          <w:i/>
          <w:iCs/>
        </w:rPr>
        <w:t xml:space="preserve">“Is the deficit in prediction error more related to psychopathology </w:t>
      </w:r>
      <w:r>
        <w:rPr>
          <w:i/>
          <w:iCs/>
        </w:rPr>
        <w:t>of patients and changes in the dopaminergic system, e.g. also a lack of confidence to others or is it more related to social withdrawal and thus reduced experience in trusting others?”</w:t>
      </w:r>
    </w:p>
    <w:p w14:paraId="4BE73711" w14:textId="77777777" w:rsidR="00CF5FDF" w:rsidRDefault="00CF5FDF">
      <w:pPr>
        <w:pStyle w:val="Standard"/>
      </w:pPr>
    </w:p>
    <w:p w14:paraId="4BE73712" w14:textId="77777777" w:rsidR="00CF5FDF" w:rsidRDefault="007741FB">
      <w:pPr>
        <w:pStyle w:val="Standard"/>
      </w:pPr>
      <w:r>
        <w:t xml:space="preserve">Response 5: </w:t>
      </w:r>
      <w:r>
        <w:rPr>
          <w:rFonts w:ascii="Arial" w:hAnsi="Arial"/>
        </w:rPr>
        <w:t xml:space="preserve">We thank the reviewer for raising this insightful mechanistic question. Our clinical correlation analyses strongly support the hypothesis that this deficit is primarily related to the core psychopathology and underlying dopaminergic disruptions, rather than being a secondary consequence of social withdrawal. In </w:t>
      </w:r>
      <w:r>
        <w:rPr>
          <w:rFonts w:ascii="Arial" w:hAnsi="Arial"/>
        </w:rPr>
        <w:t xml:space="preserve">our cohort, the computational impairments, specifically the profound decision imprecision and blunted prediction error signaling, correlated significantly with positive symptom severity, but were independent of negative symptoms. If the prediction error deficits were primarily driven by social withdrawal and a resulting lack of experience in trusting others, we would expect a strong correlation with the negative symptom domain (which captures asociality and withdrawal). Instead, the specific association </w:t>
      </w:r>
      <w:r>
        <w:rPr>
          <w:rFonts w:ascii="Arial" w:hAnsi="Arial"/>
        </w:rPr>
        <w:t>with positive symptoms aligns with the “aberrant salience” and predictive coding frameworks of dopaminergic dysfunction.</w:t>
      </w:r>
    </w:p>
    <w:p w14:paraId="4BE73713" w14:textId="77777777" w:rsidR="00CF5FDF" w:rsidRDefault="00CF5FDF">
      <w:pPr>
        <w:pStyle w:val="Standard"/>
      </w:pPr>
    </w:p>
    <w:p w14:paraId="4BE73714" w14:textId="77777777" w:rsidR="00CF5FDF" w:rsidRDefault="007741FB">
      <w:pPr>
        <w:pStyle w:val="Standard"/>
        <w:keepNext/>
        <w:keepLines/>
        <w:numPr>
          <w:ilvl w:val="0"/>
          <w:numId w:val="9"/>
        </w:numPr>
        <w:spacing w:before="160" w:after="80" w:line="278" w:lineRule="auto"/>
        <w:jc w:val="both"/>
      </w:pPr>
      <w:r>
        <w:rPr>
          <w:rFonts w:ascii="Helvetica Neue" w:eastAsia="Helvetica Neue" w:hAnsi="Helvetica Neue" w:cs="Helvetica Neue"/>
          <w:color w:val="2A6099"/>
        </w:rPr>
        <w:t xml:space="preserve">“...This clinical dissociation suggests that the observed computational deficits stem from primary psychopathology rather than secondary social withdrawal. Since choice imprecision was independent of negative symptoms, blunted prediction errors do not merely reflect social isolation. Instead, their specific link to positive symptoms supports a primary dopaminergic disruption. Aberrant </w:t>
      </w:r>
      <w:r>
        <w:rPr>
          <w:rFonts w:ascii="Helvetica Neue" w:eastAsia="Helvetica Neue" w:hAnsi="Helvetica Neue" w:cs="Helvetica Neue"/>
          <w:color w:val="2A6099"/>
        </w:rPr>
        <w:t>precision-weighting degrades social feedback reliability, causing a symptom-associated lack of trust rather than a loss of social practice."</w:t>
      </w:r>
      <w:r>
        <w:rPr>
          <w:rFonts w:ascii="Arial" w:eastAsia="Helvetica Neue" w:hAnsi="Arial" w:cs="Helvetica Neue"/>
          <w:color w:val="2A6099"/>
          <w:sz w:val="20"/>
          <w:szCs w:val="20"/>
        </w:rPr>
        <w:t xml:space="preserve"> </w:t>
      </w:r>
      <w:r>
        <w:rPr>
          <w:rFonts w:ascii="Arial" w:eastAsia="Helvetica Neue" w:hAnsi="Arial" w:cs="Helvetica Neue"/>
          <w:color w:val="000000"/>
        </w:rPr>
        <w:t>(</w:t>
      </w:r>
      <w:r>
        <w:rPr>
          <w:rFonts w:ascii="Helvetica Neue" w:eastAsia="Helvetica Neue" w:hAnsi="Helvetica Neue" w:cs="Helvetica Neue"/>
          <w:color w:val="000000"/>
        </w:rPr>
        <w:t>4.2 Behavioral Imprecision and Inconsistent Preferences</w:t>
      </w:r>
      <w:r>
        <w:rPr>
          <w:rFonts w:ascii="Arial" w:eastAsia="Helvetica Neue" w:hAnsi="Arial" w:cs="Helvetica Neue"/>
          <w:color w:val="000000"/>
        </w:rPr>
        <w:t xml:space="preserve">, </w:t>
      </w:r>
      <w:r>
        <w:rPr>
          <w:rFonts w:ascii="Arial" w:eastAsia="Helvetica Neue" w:hAnsi="Arial" w:cs="Helvetica Neue"/>
          <w:color w:val="000000"/>
        </w:rPr>
        <w:t>line 395-400)</w:t>
      </w:r>
    </w:p>
    <w:p w14:paraId="4BE73715" w14:textId="77777777" w:rsidR="00CF5FDF" w:rsidRDefault="00CF5FDF">
      <w:pPr>
        <w:pStyle w:val="Standard"/>
      </w:pPr>
    </w:p>
    <w:p w14:paraId="4BE73716" w14:textId="77777777" w:rsidR="00CF5FDF" w:rsidRDefault="00CF5FDF">
      <w:pPr>
        <w:pStyle w:val="Standard"/>
      </w:pPr>
    </w:p>
    <w:p w14:paraId="4BE73717" w14:textId="77777777" w:rsidR="00CF5FDF" w:rsidRDefault="00CF5FDF">
      <w:pPr>
        <w:pStyle w:val="Standard"/>
      </w:pPr>
    </w:p>
    <w:p w14:paraId="4BE73718" w14:textId="77777777" w:rsidR="00CF5FDF" w:rsidRDefault="00CF5FDF">
      <w:pPr>
        <w:pStyle w:val="Standard"/>
      </w:pPr>
    </w:p>
    <w:p w14:paraId="4BE73719" w14:textId="77777777" w:rsidR="00CF5FDF" w:rsidRDefault="007741FB">
      <w:pPr>
        <w:pStyle w:val="Standard"/>
      </w:pPr>
      <w:r>
        <w:t xml:space="preserve">Comment 6: </w:t>
      </w:r>
      <w:r>
        <w:rPr>
          <w:i/>
          <w:iCs/>
        </w:rPr>
        <w:t>“What would be the consequences for clinicians. Could this behavioural task be used in stable patients to predict long-term clinical outcome?”</w:t>
      </w:r>
    </w:p>
    <w:p w14:paraId="4BE7371A" w14:textId="77777777" w:rsidR="00CF5FDF" w:rsidRDefault="00CF5FDF">
      <w:pPr>
        <w:pStyle w:val="Standard"/>
      </w:pPr>
    </w:p>
    <w:p w14:paraId="4BE7371B" w14:textId="77777777" w:rsidR="00CF5FDF" w:rsidRDefault="007741FB">
      <w:pPr>
        <w:pStyle w:val="Standard"/>
      </w:pPr>
      <w:r>
        <w:t xml:space="preserve">Response 6: </w:t>
      </w:r>
      <w:r>
        <w:rPr>
          <w:rFonts w:ascii="Arial" w:hAnsi="Arial"/>
        </w:rPr>
        <w:t xml:space="preserve">We sincerely thank the reviewer for highlighting the translational importance of our findings. </w:t>
      </w:r>
      <w:r>
        <w:rPr>
          <w:rFonts w:ascii="Google Sans Text" w:eastAsia="Google Sans Text" w:hAnsi="Google Sans Text" w:cs="Google Sans Text"/>
        </w:rPr>
        <w:t xml:space="preserve">Our findings reframe how </w:t>
      </w:r>
      <w:r>
        <w:rPr>
          <w:rFonts w:ascii="Google Sans Text" w:eastAsia="Google Sans Text" w:hAnsi="Google Sans Text" w:cs="Google Sans Text"/>
        </w:rPr>
        <w:t xml:space="preserve">treatment resistance in social functioning is understood. When patients fail to engage in therapeutic alliances or social skills training, it is often viewed as a </w:t>
      </w:r>
      <w:r>
        <w:rPr>
          <w:rFonts w:ascii="Google Sans Text" w:eastAsia="Google Sans Text" w:hAnsi="Google Sans Text" w:cs="Google Sans Text"/>
        </w:rPr>
        <w:lastRenderedPageBreak/>
        <w:t xml:space="preserve">negative symptom (amotivation). Our data demonstrates that it is actually a specific computational failure to process positive social feedback. For clinicians, this implies that traditional, socially reinforced therapies may fail for patients with high decision imprecision, highlighting the need for alternative, perhaps non-socially mediated </w:t>
      </w:r>
      <w:r>
        <w:rPr>
          <w:rFonts w:ascii="Google Sans Text" w:eastAsia="Google Sans Text" w:hAnsi="Google Sans Text" w:cs="Google Sans Text"/>
        </w:rPr>
        <w:t xml:space="preserve">cognitive remediation strategies. We strongly agree that this is a promising application. While our cross-sectional design warrants caution, computational parameters (like choice precision, </w:t>
      </w:r>
      <m:oMath>
        <m:r>
          <w:rPr>
            <w:rFonts w:ascii="Cambria Math" w:hAnsi="Cambria Math"/>
          </w:rPr>
          <m:t>β</m:t>
        </m:r>
      </m:oMath>
      <w:r>
        <w:rPr>
          <w:rFonts w:ascii="Google Sans Text" w:eastAsia="Google Sans Text" w:hAnsi="Google Sans Text" w:cs="Google Sans Text"/>
        </w:rPr>
        <w:t xml:space="preserve"> ) essentially provide a “stress test” for social integration. Using the Trust Game in stable patients could act as a quantitative biomarker; patients who show an inability to computationally update expectations are likely at much higher risk for long-term functional decline and social isolation.</w:t>
      </w:r>
    </w:p>
    <w:p w14:paraId="4BE7371C" w14:textId="77777777" w:rsidR="00CF5FDF" w:rsidRDefault="00CF5FDF">
      <w:pPr>
        <w:pStyle w:val="Textbody"/>
        <w:spacing w:line="273" w:lineRule="auto"/>
      </w:pPr>
    </w:p>
    <w:p w14:paraId="4BE7371D" w14:textId="77777777" w:rsidR="00CF5FDF" w:rsidRDefault="007741FB">
      <w:pPr>
        <w:pStyle w:val="Standard"/>
        <w:keepNext/>
        <w:keepLines/>
        <w:numPr>
          <w:ilvl w:val="0"/>
          <w:numId w:val="10"/>
        </w:numPr>
        <w:spacing w:before="160" w:after="80" w:line="278" w:lineRule="auto"/>
        <w:jc w:val="both"/>
        <w:rPr>
          <w:rFonts w:ascii="Helvetica Neue" w:eastAsia="Helvetica Neue" w:hAnsi="Helvetica Neue" w:cs="Helvetica Neue"/>
          <w:color w:val="2A6099"/>
        </w:rPr>
      </w:pPr>
      <w:r>
        <w:rPr>
          <w:rFonts w:ascii="Helvetica Neue" w:eastAsia="Helvetica Neue" w:hAnsi="Helvetica Neue" w:cs="Helvetica Neue"/>
          <w:color w:val="2A6099"/>
        </w:rPr>
        <w:t>“</w:t>
      </w:r>
      <w:r>
        <w:rPr>
          <w:rFonts w:ascii="Helvetica Neue" w:eastAsia="Helvetica Neue" w:hAnsi="Helvetica Neue" w:cs="Helvetica Neue"/>
          <w:b/>
          <w:bCs/>
          <w:color w:val="2A6099"/>
        </w:rPr>
        <w:t>4.5 C</w:t>
      </w:r>
      <w:r>
        <w:rPr>
          <w:rFonts w:ascii="Helvetica Neue" w:eastAsia="Helvetica Neue" w:hAnsi="Helvetica Neue" w:cs="Helvetica Neue"/>
          <w:b/>
          <w:color w:val="2A6099"/>
        </w:rPr>
        <w:t xml:space="preserve">linical </w:t>
      </w:r>
      <w:r>
        <w:rPr>
          <w:rFonts w:ascii="Helvetica Neue" w:eastAsia="Helvetica Neue" w:hAnsi="Helvetica Neue" w:cs="Helvetica Neue"/>
          <w:b/>
          <w:color w:val="2A6099"/>
        </w:rPr>
        <w:t>Implications and Predictive Utility</w:t>
      </w:r>
    </w:p>
    <w:p w14:paraId="4BE7371E" w14:textId="77777777" w:rsidR="00CF5FDF" w:rsidRDefault="007741FB">
      <w:pPr>
        <w:pStyle w:val="Standard"/>
        <w:spacing w:before="160" w:after="80" w:line="278" w:lineRule="auto"/>
        <w:jc w:val="both"/>
        <w:rPr>
          <w:rFonts w:ascii="Arial" w:eastAsia="Helvetica Neue" w:hAnsi="Arial" w:cs="Helvetica Neue"/>
          <w:color w:val="2A6099"/>
          <w:sz w:val="20"/>
          <w:szCs w:val="20"/>
        </w:rPr>
      </w:pPr>
      <w:r>
        <w:rPr>
          <w:rFonts w:ascii="Helvetica Neue" w:eastAsia="Helvetica Neue" w:hAnsi="Helvetica Neue" w:cs="Helvetica Neue"/>
          <w:color w:val="2A6099"/>
        </w:rPr>
        <w:t xml:space="preserve">These computational findings offer actionable insights for clinical practice. When stable patients fail to benefit from social skills training or struggle to form therapeutic alliances, clinicians often attribute this to amotivation or cognitive decline. However, our results suggest a different mechanism: a fundamental computational inability to integrate positive social feedback. Consequently, interventions relying heavily on social reinforcement may be ineffective for </w:t>
      </w:r>
      <w:r>
        <w:rPr>
          <w:rFonts w:ascii="Helvetica Neue" w:eastAsia="Helvetica Neue" w:hAnsi="Helvetica Neue" w:cs="Helvetica Neue"/>
          <w:color w:val="2A6099"/>
        </w:rPr>
        <w:t xml:space="preserve">patients exhibiting profound decision imprecision (low </w:t>
      </w:r>
      <m:oMath>
        <m:r>
          <w:rPr>
            <w:rFonts w:ascii="Cambria Math" w:hAnsi="Cambria Math"/>
          </w:rPr>
          <m:t>β</m:t>
        </m:r>
      </m:oMath>
      <w:r>
        <w:rPr>
          <w:rFonts w:ascii="Helvetica Neue" w:eastAsia="Helvetica Neue" w:hAnsi="Helvetica Neue" w:cs="Helvetica Neue"/>
          <w:color w:val="2A6099"/>
        </w:rPr>
        <w:t xml:space="preserve">)) Furthermore, behavioral paradigms like the Trust Game hold significant promise as prognostic tools. In clinically stable outpatients, extracting these computational parameters could serve as a quantitive biomarker to identify individuals at high risk for long-term social withdrawal and functional decline, guiding the early implementation of tailored cognitive remediation strategies.” </w:t>
      </w:r>
      <w:r>
        <w:rPr>
          <w:rFonts w:ascii="Arial" w:eastAsia="Helvetica Neue" w:hAnsi="Arial" w:cs="Helvetica Neue"/>
          <w:color w:val="000000"/>
        </w:rPr>
        <w:t>(4.5 Clinical Implications and Predictive Utility,</w:t>
      </w:r>
      <w:r>
        <w:rPr>
          <w:rFonts w:ascii="Arial" w:eastAsia="Helvetica Neue" w:hAnsi="Arial" w:cs="Helvetica Neue"/>
          <w:color w:val="000000"/>
        </w:rPr>
        <w:t xml:space="preserve"> line 454-463)</w:t>
      </w:r>
    </w:p>
    <w:sectPr w:rsidR="00CF5FDF" w:rsidSect="00D15457">
      <w:pgSz w:w="11906" w:h="16838"/>
      <w:pgMar w:top="1134" w:right="1134" w:bottom="1134" w:left="1134" w:header="720" w:footer="720"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99CC" w14:textId="77777777" w:rsidR="007741FB" w:rsidRDefault="007741FB">
      <w:r>
        <w:separator/>
      </w:r>
    </w:p>
  </w:endnote>
  <w:endnote w:type="continuationSeparator" w:id="0">
    <w:p w14:paraId="1CD9826B" w14:textId="77777777" w:rsidR="007741FB" w:rsidRDefault="00774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80000001" w:csb1="00000000"/>
  </w:font>
  <w:font w:name="Liberation Serif">
    <w:panose1 w:val="02020603050405020304"/>
    <w:charset w:val="00"/>
    <w:family w:val="roman"/>
    <w:pitch w:val="variable"/>
    <w:sig w:usb0="E0000AFF" w:usb1="500078FF" w:usb2="00000021" w:usb3="00000000" w:csb0="000001BF" w:csb1="00000000"/>
  </w:font>
  <w:font w:name="Songti SC">
    <w:altName w:val="Calibri"/>
    <w:charset w:val="00"/>
    <w:family w:val="auto"/>
    <w:pitch w:val="variable"/>
  </w:font>
  <w:font w:name="Arial Unicode MS">
    <w:panose1 w:val="020B0604020202020204"/>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PingFang SC">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variable"/>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2A4B" w14:textId="77777777" w:rsidR="007741FB" w:rsidRDefault="007741FB">
      <w:r>
        <w:rPr>
          <w:color w:val="000000"/>
        </w:rPr>
        <w:separator/>
      </w:r>
    </w:p>
  </w:footnote>
  <w:footnote w:type="continuationSeparator" w:id="0">
    <w:p w14:paraId="323BB10B" w14:textId="77777777" w:rsidR="007741FB" w:rsidRDefault="00774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9CF"/>
    <w:multiLevelType w:val="multilevel"/>
    <w:tmpl w:val="BD7A89EC"/>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1" w15:restartNumberingAfterBreak="0">
    <w:nsid w:val="1DAE5D18"/>
    <w:multiLevelType w:val="multilevel"/>
    <w:tmpl w:val="50DA351E"/>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2" w15:restartNumberingAfterBreak="0">
    <w:nsid w:val="20FB0106"/>
    <w:multiLevelType w:val="multilevel"/>
    <w:tmpl w:val="E7067F20"/>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3" w15:restartNumberingAfterBreak="0">
    <w:nsid w:val="256370AB"/>
    <w:multiLevelType w:val="multilevel"/>
    <w:tmpl w:val="5CC8DE46"/>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4" w15:restartNumberingAfterBreak="0">
    <w:nsid w:val="2A58359D"/>
    <w:multiLevelType w:val="multilevel"/>
    <w:tmpl w:val="0BDEC696"/>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5" w15:restartNumberingAfterBreak="0">
    <w:nsid w:val="34421590"/>
    <w:multiLevelType w:val="multilevel"/>
    <w:tmpl w:val="DA5CB6FE"/>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6" w15:restartNumberingAfterBreak="0">
    <w:nsid w:val="3AF346DA"/>
    <w:multiLevelType w:val="multilevel"/>
    <w:tmpl w:val="A04A9EBE"/>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7" w15:restartNumberingAfterBreak="0">
    <w:nsid w:val="41BB66F9"/>
    <w:multiLevelType w:val="multilevel"/>
    <w:tmpl w:val="4F2EF7AC"/>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8" w15:restartNumberingAfterBreak="0">
    <w:nsid w:val="52BE02E2"/>
    <w:multiLevelType w:val="multilevel"/>
    <w:tmpl w:val="74D200FE"/>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abstractNum w:abstractNumId="9" w15:restartNumberingAfterBreak="0">
    <w:nsid w:val="66B03AC8"/>
    <w:multiLevelType w:val="multilevel"/>
    <w:tmpl w:val="925AED1A"/>
    <w:lvl w:ilvl="0">
      <w:numFmt w:val="bullet"/>
      <w:lvlText w:val="•"/>
      <w:lvlJc w:val="left"/>
      <w:pPr>
        <w:ind w:left="720" w:hanging="360"/>
      </w:pPr>
      <w:rPr>
        <w:rFonts w:ascii="OpenSymbol" w:eastAsia="OpenSymbol" w:hAnsi="OpenSymbol" w:cs="OpenSymbol"/>
        <w:color w:val="2A6099"/>
      </w:rPr>
    </w:lvl>
    <w:lvl w:ilvl="1">
      <w:numFmt w:val="bullet"/>
      <w:lvlText w:val="◦"/>
      <w:lvlJc w:val="left"/>
      <w:pPr>
        <w:ind w:left="1080" w:hanging="360"/>
      </w:pPr>
      <w:rPr>
        <w:rFonts w:ascii="OpenSymbol" w:eastAsia="OpenSymbol" w:hAnsi="OpenSymbol" w:cs="OpenSymbol"/>
        <w:color w:val="2A6099"/>
      </w:rPr>
    </w:lvl>
    <w:lvl w:ilvl="2">
      <w:numFmt w:val="bullet"/>
      <w:lvlText w:val="▪"/>
      <w:lvlJc w:val="left"/>
      <w:pPr>
        <w:ind w:left="1440" w:hanging="360"/>
      </w:pPr>
      <w:rPr>
        <w:rFonts w:ascii="OpenSymbol" w:eastAsia="OpenSymbol" w:hAnsi="OpenSymbol" w:cs="OpenSymbol"/>
        <w:color w:val="2A6099"/>
      </w:rPr>
    </w:lvl>
    <w:lvl w:ilvl="3">
      <w:numFmt w:val="bullet"/>
      <w:lvlText w:val="•"/>
      <w:lvlJc w:val="left"/>
      <w:pPr>
        <w:ind w:left="1800" w:hanging="360"/>
      </w:pPr>
      <w:rPr>
        <w:rFonts w:ascii="OpenSymbol" w:eastAsia="OpenSymbol" w:hAnsi="OpenSymbol" w:cs="OpenSymbol"/>
        <w:color w:val="2A6099"/>
      </w:rPr>
    </w:lvl>
    <w:lvl w:ilvl="4">
      <w:numFmt w:val="bullet"/>
      <w:lvlText w:val="◦"/>
      <w:lvlJc w:val="left"/>
      <w:pPr>
        <w:ind w:left="2160" w:hanging="360"/>
      </w:pPr>
      <w:rPr>
        <w:rFonts w:ascii="OpenSymbol" w:eastAsia="OpenSymbol" w:hAnsi="OpenSymbol" w:cs="OpenSymbol"/>
        <w:color w:val="2A6099"/>
      </w:rPr>
    </w:lvl>
    <w:lvl w:ilvl="5">
      <w:numFmt w:val="bullet"/>
      <w:lvlText w:val="▪"/>
      <w:lvlJc w:val="left"/>
      <w:pPr>
        <w:ind w:left="2520" w:hanging="360"/>
      </w:pPr>
      <w:rPr>
        <w:rFonts w:ascii="OpenSymbol" w:eastAsia="OpenSymbol" w:hAnsi="OpenSymbol" w:cs="OpenSymbol"/>
        <w:color w:val="2A6099"/>
      </w:rPr>
    </w:lvl>
    <w:lvl w:ilvl="6">
      <w:numFmt w:val="bullet"/>
      <w:lvlText w:val="•"/>
      <w:lvlJc w:val="left"/>
      <w:pPr>
        <w:ind w:left="2880" w:hanging="360"/>
      </w:pPr>
      <w:rPr>
        <w:rFonts w:ascii="OpenSymbol" w:eastAsia="OpenSymbol" w:hAnsi="OpenSymbol" w:cs="OpenSymbol"/>
        <w:color w:val="2A6099"/>
      </w:rPr>
    </w:lvl>
    <w:lvl w:ilvl="7">
      <w:numFmt w:val="bullet"/>
      <w:lvlText w:val="◦"/>
      <w:lvlJc w:val="left"/>
      <w:pPr>
        <w:ind w:left="3240" w:hanging="360"/>
      </w:pPr>
      <w:rPr>
        <w:rFonts w:ascii="OpenSymbol" w:eastAsia="OpenSymbol" w:hAnsi="OpenSymbol" w:cs="OpenSymbol"/>
        <w:color w:val="2A6099"/>
      </w:rPr>
    </w:lvl>
    <w:lvl w:ilvl="8">
      <w:numFmt w:val="bullet"/>
      <w:lvlText w:val="▪"/>
      <w:lvlJc w:val="left"/>
      <w:pPr>
        <w:ind w:left="3600" w:hanging="360"/>
      </w:pPr>
      <w:rPr>
        <w:rFonts w:ascii="OpenSymbol" w:eastAsia="OpenSymbol" w:hAnsi="OpenSymbol" w:cs="OpenSymbol"/>
        <w:color w:val="2A6099"/>
      </w:rPr>
    </w:lvl>
  </w:abstractNum>
  <w:num w:numId="1" w16cid:durableId="1931424742">
    <w:abstractNumId w:val="5"/>
  </w:num>
  <w:num w:numId="2" w16cid:durableId="698433837">
    <w:abstractNumId w:val="6"/>
  </w:num>
  <w:num w:numId="3" w16cid:durableId="87192760">
    <w:abstractNumId w:val="4"/>
  </w:num>
  <w:num w:numId="4" w16cid:durableId="996298378">
    <w:abstractNumId w:val="2"/>
  </w:num>
  <w:num w:numId="5" w16cid:durableId="1098449644">
    <w:abstractNumId w:val="0"/>
  </w:num>
  <w:num w:numId="6" w16cid:durableId="103307469">
    <w:abstractNumId w:val="7"/>
  </w:num>
  <w:num w:numId="7" w16cid:durableId="696662615">
    <w:abstractNumId w:val="8"/>
  </w:num>
  <w:num w:numId="8" w16cid:durableId="1398818082">
    <w:abstractNumId w:val="9"/>
  </w:num>
  <w:num w:numId="9" w16cid:durableId="230506448">
    <w:abstractNumId w:val="1"/>
  </w:num>
  <w:num w:numId="10" w16cid:durableId="1582566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F5FDF"/>
    <w:rsid w:val="000647C7"/>
    <w:rsid w:val="007741FB"/>
    <w:rsid w:val="00CF5FDF"/>
    <w:rsid w:val="00D15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36D7"/>
  <w15:docId w15:val="{E6467F83-FAF0-4805-9A90-31109A51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3"/>
        <w:sz w:val="24"/>
        <w:szCs w:val="24"/>
        <w:lang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PingFang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Title">
    <w:name w:val="Title"/>
    <w:basedOn w:val="Heading"/>
    <w:next w:val="Textbody"/>
    <w:uiPriority w:val="10"/>
    <w:qFormat/>
    <w:pPr>
      <w:jc w:val="center"/>
    </w:pPr>
    <w:rPr>
      <w:b/>
      <w:bCs/>
      <w:sz w:val="56"/>
      <w:szCs w:val="56"/>
    </w:rPr>
  </w:style>
  <w:style w:type="character" w:customStyle="1" w:styleId="BulletSymbols">
    <w:name w:val="Bullet Symbols"/>
    <w:rPr>
      <w:rFonts w:ascii="OpenSymbol" w:eastAsia="OpenSymbol" w:hAnsi="OpenSymbol" w:cs="OpenSymbol"/>
      <w:color w:val="2A6099"/>
    </w:rPr>
  </w:style>
  <w:style w:type="character" w:styleId="LineNumber">
    <w:name w:val="line number"/>
    <w:basedOn w:val="DefaultParagraphFont"/>
    <w:uiPriority w:val="99"/>
    <w:semiHidden/>
    <w:unhideWhenUsed/>
    <w:rsid w:val="00D15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1902</Words>
  <Characters>10843</Characters>
  <Application>Microsoft Office Word</Application>
  <DocSecurity>0</DocSecurity>
  <Lines>90</Lines>
  <Paragraphs>25</Paragraphs>
  <ScaleCrop>false</ScaleCrop>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Kaan Keskin</cp:lastModifiedBy>
  <cp:revision>2</cp:revision>
  <dcterms:created xsi:type="dcterms:W3CDTF">2026-07-04T09:39:00Z</dcterms:created>
  <dcterms:modified xsi:type="dcterms:W3CDTF">2026-07-04T09:39:00Z</dcterms:modified>
</cp:coreProperties>
</file>