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1AF16" w14:textId="77777777" w:rsidR="00FA4832" w:rsidRPr="0018455D" w:rsidRDefault="00FA4832" w:rsidP="00FA4832">
      <w:pPr>
        <w:rPr>
          <w:b/>
          <w:bCs/>
          <w:sz w:val="28"/>
          <w:szCs w:val="28"/>
          <w:lang w:val="en-US"/>
        </w:rPr>
      </w:pPr>
      <w:r w:rsidRPr="0018455D">
        <w:rPr>
          <w:b/>
          <w:bCs/>
          <w:sz w:val="28"/>
          <w:szCs w:val="28"/>
          <w:lang w:val="en-US"/>
        </w:rPr>
        <w:t>2.Methods</w:t>
      </w:r>
    </w:p>
    <w:p w14:paraId="51A6DCA5" w14:textId="77777777" w:rsidR="00FA4832" w:rsidRPr="0018455D" w:rsidRDefault="00FA4832" w:rsidP="00FA4832">
      <w:pPr>
        <w:jc w:val="both"/>
        <w:rPr>
          <w:b/>
          <w:bCs/>
          <w:lang w:val="en-US"/>
        </w:rPr>
      </w:pPr>
    </w:p>
    <w:p w14:paraId="096B9750" w14:textId="4B01594D" w:rsidR="00FA4832" w:rsidRPr="0018455D" w:rsidRDefault="00FA4832" w:rsidP="00FA4832">
      <w:pPr>
        <w:jc w:val="both"/>
        <w:rPr>
          <w:b/>
          <w:bCs/>
          <w:lang w:val="en-US"/>
        </w:rPr>
      </w:pPr>
      <w:r w:rsidRPr="0018455D">
        <w:rPr>
          <w:b/>
          <w:bCs/>
          <w:lang w:val="en-US"/>
        </w:rPr>
        <w:t>2.1</w:t>
      </w:r>
      <w:r w:rsidR="0057150A">
        <w:rPr>
          <w:b/>
          <w:bCs/>
          <w:lang w:val="en-US"/>
        </w:rPr>
        <w:t xml:space="preserve"> </w:t>
      </w:r>
      <w:r w:rsidRPr="0018455D">
        <w:rPr>
          <w:b/>
          <w:bCs/>
          <w:lang w:val="en-US"/>
        </w:rPr>
        <w:t>Participants</w:t>
      </w:r>
    </w:p>
    <w:p w14:paraId="7F9884B7" w14:textId="77777777" w:rsidR="00FA4832" w:rsidRPr="0018455D" w:rsidRDefault="00FA4832" w:rsidP="00FA4832">
      <w:pPr>
        <w:jc w:val="both"/>
        <w:rPr>
          <w:rFonts w:eastAsia="Times New Roman"/>
          <w:color w:val="0E0E0E"/>
          <w:lang w:val="en-US"/>
        </w:rPr>
      </w:pPr>
      <w:r>
        <w:rPr>
          <w:rFonts w:eastAsia="Times New Roman"/>
          <w:color w:val="0E0E0E"/>
          <w:lang w:val="en-US"/>
        </w:rPr>
        <w:t>Twenty-nine c</w:t>
      </w:r>
      <w:r w:rsidRPr="0018455D">
        <w:rPr>
          <w:rFonts w:eastAsia="Times New Roman"/>
          <w:color w:val="0E0E0E"/>
          <w:lang w:val="en-US"/>
        </w:rPr>
        <w:t>linically stable, right-handed schizophrenia patients</w:t>
      </w:r>
      <w:r>
        <w:rPr>
          <w:rFonts w:eastAsia="Times New Roman"/>
          <w:color w:val="0E0E0E"/>
          <w:lang w:val="en-US"/>
        </w:rPr>
        <w:t xml:space="preserve"> (mean age </w:t>
      </w:r>
      <w:r>
        <w:rPr>
          <w:rFonts w:eastAsia="Times New Roman"/>
          <w:color w:val="0E0E0E"/>
          <w:lang w:val="en-US"/>
        </w:rPr>
        <w:sym w:font="Symbol" w:char="F0B1"/>
      </w:r>
      <w:r>
        <w:rPr>
          <w:rFonts w:eastAsia="Times New Roman"/>
          <w:color w:val="0E0E0E"/>
          <w:lang w:val="en-US"/>
        </w:rPr>
        <w:t xml:space="preserve"> SD)</w:t>
      </w:r>
      <w:r w:rsidRPr="0018455D">
        <w:rPr>
          <w:rFonts w:eastAsia="Times New Roman"/>
          <w:color w:val="0E0E0E"/>
          <w:lang w:val="en-US"/>
        </w:rPr>
        <w:t xml:space="preserve"> were recruited from the Ege University Department of Psychiatry Outpatient Unit. All patients </w:t>
      </w:r>
      <w:proofErr w:type="gramStart"/>
      <w:r w:rsidRPr="0018455D">
        <w:rPr>
          <w:rFonts w:eastAsia="Times New Roman"/>
          <w:color w:val="0E0E0E"/>
          <w:lang w:val="en-US"/>
        </w:rPr>
        <w:t>had remained</w:t>
      </w:r>
      <w:proofErr w:type="gramEnd"/>
      <w:r w:rsidRPr="0018455D">
        <w:rPr>
          <w:rFonts w:eastAsia="Times New Roman"/>
          <w:color w:val="0E0E0E"/>
          <w:lang w:val="en-US"/>
        </w:rPr>
        <w:t xml:space="preserve"> on a </w:t>
      </w:r>
      <w:r>
        <w:rPr>
          <w:rFonts w:eastAsia="Times New Roman"/>
          <w:color w:val="0E0E0E"/>
          <w:lang w:val="en-US"/>
        </w:rPr>
        <w:t>stable</w:t>
      </w:r>
      <w:r w:rsidRPr="0018455D">
        <w:rPr>
          <w:rFonts w:eastAsia="Times New Roman"/>
          <w:color w:val="0E0E0E"/>
          <w:lang w:val="en-US"/>
        </w:rPr>
        <w:t xml:space="preserve"> treatment regimen for at least six months before participation, without further alteration in medical treatment The study was conducted under the Declaration of Helsinki, and written informed consent was obtained from all participants.</w:t>
      </w:r>
    </w:p>
    <w:p w14:paraId="19286A93" w14:textId="77777777" w:rsidR="00FA4832" w:rsidRPr="0018455D" w:rsidRDefault="00FA4832" w:rsidP="00FA4832">
      <w:pPr>
        <w:jc w:val="both"/>
        <w:rPr>
          <w:rFonts w:eastAsia="Times New Roman"/>
          <w:color w:val="0E0E0E"/>
          <w:lang w:val="en-US"/>
        </w:rPr>
      </w:pPr>
    </w:p>
    <w:p w14:paraId="3E8D5A40" w14:textId="77777777" w:rsidR="00FA4832" w:rsidRPr="0018455D" w:rsidRDefault="00FA4832" w:rsidP="00FA4832">
      <w:pPr>
        <w:jc w:val="both"/>
        <w:rPr>
          <w:rFonts w:eastAsia="Times New Roman"/>
          <w:color w:val="0E0E0E"/>
          <w:lang w:val="en-US"/>
        </w:rPr>
      </w:pPr>
      <w:r w:rsidRPr="0018455D">
        <w:rPr>
          <w:rFonts w:eastAsia="Times New Roman"/>
          <w:color w:val="0E0E0E"/>
          <w:lang w:val="en-US"/>
        </w:rPr>
        <w:t xml:space="preserve">Patients with current depressive episodes, substance use disorders, or significant medical conditions affecting cerebral blood flow </w:t>
      </w:r>
      <w:r>
        <w:rPr>
          <w:rFonts w:eastAsia="Times New Roman"/>
          <w:color w:val="0E0E0E"/>
          <w:lang w:val="en-US"/>
        </w:rPr>
        <w:t xml:space="preserve">such as diabetes, hypertension and morbid obesity </w:t>
      </w:r>
      <w:r w:rsidRPr="0018455D">
        <w:rPr>
          <w:rFonts w:eastAsia="Times New Roman"/>
          <w:color w:val="0E0E0E"/>
          <w:lang w:val="en-US"/>
        </w:rPr>
        <w:t xml:space="preserve">were excluded. </w:t>
      </w:r>
      <w:proofErr w:type="gramStart"/>
      <w:r w:rsidRPr="0018455D">
        <w:rPr>
          <w:rFonts w:eastAsia="Times New Roman"/>
          <w:color w:val="0E0E0E"/>
          <w:lang w:val="en-US"/>
        </w:rPr>
        <w:t>Healthy</w:t>
      </w:r>
      <w:proofErr w:type="gramEnd"/>
      <w:r w:rsidRPr="0018455D">
        <w:rPr>
          <w:rFonts w:eastAsia="Times New Roman"/>
          <w:color w:val="0E0E0E"/>
          <w:lang w:val="en-US"/>
        </w:rPr>
        <w:t xml:space="preserve"> controls were recruited through community advertisements and had no history of psychiatric disorders and no family history of schizophrenia. Demographic characteristics of all participants are presented in Table 1.</w:t>
      </w:r>
    </w:p>
    <w:p w14:paraId="4FCC22B7" w14:textId="77777777" w:rsidR="00FA4832" w:rsidRPr="0018455D" w:rsidRDefault="00FA4832" w:rsidP="00FA4832">
      <w:pPr>
        <w:jc w:val="both"/>
        <w:rPr>
          <w:rFonts w:eastAsia="Times New Roman"/>
          <w:color w:val="0E0E0E"/>
          <w:lang w:val="en-US"/>
        </w:rPr>
      </w:pPr>
    </w:p>
    <w:p w14:paraId="655C9BAC" w14:textId="77777777" w:rsidR="00FA4832" w:rsidRPr="0018455D" w:rsidRDefault="00FA4832" w:rsidP="00FA4832">
      <w:pPr>
        <w:jc w:val="both"/>
        <w:rPr>
          <w:rFonts w:eastAsia="Times New Roman"/>
          <w:b/>
          <w:bCs/>
          <w:color w:val="0E0E0E"/>
          <w:lang w:val="en-US"/>
        </w:rPr>
      </w:pPr>
      <w:r w:rsidRPr="0018455D">
        <w:rPr>
          <w:rFonts w:eastAsia="Times New Roman"/>
          <w:b/>
          <w:bCs/>
          <w:color w:val="0E0E0E"/>
          <w:lang w:val="en-US"/>
        </w:rPr>
        <w:t>2.2 Psychometric Assessment</w:t>
      </w:r>
    </w:p>
    <w:p w14:paraId="2CCD037B" w14:textId="77777777" w:rsidR="00FA4832" w:rsidRPr="0018455D" w:rsidRDefault="00FA4832" w:rsidP="00FA4832">
      <w:pPr>
        <w:jc w:val="both"/>
        <w:rPr>
          <w:b/>
          <w:bCs/>
          <w:u w:val="single"/>
          <w:lang w:val="en-US"/>
        </w:rPr>
      </w:pPr>
      <w:r w:rsidRPr="0018455D">
        <w:rPr>
          <w:color w:val="0E0E0E"/>
          <w:lang w:val="en-US"/>
        </w:rPr>
        <w:t xml:space="preserve">Schizophrenia diagnoses were </w:t>
      </w:r>
      <w:r>
        <w:rPr>
          <w:color w:val="0E0E0E"/>
          <w:lang w:val="en-US"/>
        </w:rPr>
        <w:t>confirmed by</w:t>
      </w:r>
      <w:r w:rsidRPr="0018455D">
        <w:rPr>
          <w:color w:val="0E0E0E"/>
          <w:lang w:val="en-US"/>
        </w:rPr>
        <w:t xml:space="preserve"> using the Structured Clinical Interview for DSM-5 (SCID-5). The Positive and Negative Syndrome Symptom Scale (PANSS), a semi-structured assessment, was administered to </w:t>
      </w:r>
      <w:r>
        <w:rPr>
          <w:color w:val="0E0E0E"/>
          <w:lang w:val="en-US"/>
        </w:rPr>
        <w:t>evaluate</w:t>
      </w:r>
      <w:r w:rsidRPr="0018455D">
        <w:rPr>
          <w:color w:val="0E0E0E"/>
          <w:lang w:val="en-US"/>
        </w:rPr>
        <w:t xml:space="preserve"> symptom </w:t>
      </w:r>
      <w:proofErr w:type="spellStart"/>
      <w:r>
        <w:rPr>
          <w:color w:val="0E0E0E"/>
          <w:lang w:val="en-US"/>
        </w:rPr>
        <w:t>severty</w:t>
      </w:r>
      <w:proofErr w:type="spellEnd"/>
      <w:r w:rsidRPr="0018455D">
        <w:rPr>
          <w:color w:val="0E0E0E"/>
          <w:lang w:val="en-US"/>
        </w:rPr>
        <w:t xml:space="preserve"> and patient functionality. Cognitive and social functioning were evaluated with the Schizophrenia Cognition Rating Scale (</w:t>
      </w:r>
      <w:proofErr w:type="spellStart"/>
      <w:r w:rsidRPr="0018455D">
        <w:rPr>
          <w:color w:val="0E0E0E"/>
          <w:lang w:val="en-US"/>
        </w:rPr>
        <w:t>S</w:t>
      </w:r>
      <w:r>
        <w:rPr>
          <w:color w:val="0E0E0E"/>
          <w:lang w:val="en-US"/>
        </w:rPr>
        <w:t>C</w:t>
      </w:r>
      <w:r w:rsidRPr="0018455D">
        <w:rPr>
          <w:color w:val="0E0E0E"/>
          <w:lang w:val="en-US"/>
        </w:rPr>
        <w:t>oRS</w:t>
      </w:r>
      <w:proofErr w:type="spellEnd"/>
      <w:r w:rsidRPr="0018455D">
        <w:rPr>
          <w:color w:val="0E0E0E"/>
          <w:lang w:val="en-US"/>
        </w:rPr>
        <w:t>) and the Functional Remission of General Schizophrenia (FROGS).</w:t>
      </w:r>
    </w:p>
    <w:p w14:paraId="500B5209" w14:textId="77777777" w:rsidR="00FA4832" w:rsidRPr="0018455D" w:rsidRDefault="00FA4832" w:rsidP="00FA4832">
      <w:pPr>
        <w:rPr>
          <w:rFonts w:eastAsia="Times New Roman"/>
          <w:color w:val="0E0E0E"/>
          <w:lang w:val="en-US"/>
        </w:rPr>
      </w:pPr>
    </w:p>
    <w:p w14:paraId="5D5700A1" w14:textId="77777777" w:rsidR="00FA4832" w:rsidRPr="0018455D" w:rsidRDefault="00FA4832" w:rsidP="00FA4832">
      <w:pPr>
        <w:rPr>
          <w:rFonts w:eastAsia="Times New Roman"/>
          <w:color w:val="0E0E0E"/>
          <w:lang w:val="en-US"/>
        </w:rPr>
      </w:pPr>
    </w:p>
    <w:p w14:paraId="6DC006C3" w14:textId="77777777" w:rsidR="00FA4832" w:rsidRPr="0018455D" w:rsidRDefault="00FA4832" w:rsidP="00FA4832">
      <w:pPr>
        <w:rPr>
          <w:b/>
          <w:bCs/>
          <w:lang w:val="en-US"/>
        </w:rPr>
      </w:pPr>
      <w:r w:rsidRPr="0018455D">
        <w:rPr>
          <w:b/>
          <w:bCs/>
          <w:lang w:val="en-US"/>
        </w:rPr>
        <w:t>2.</w:t>
      </w:r>
      <w:proofErr w:type="gramStart"/>
      <w:r>
        <w:rPr>
          <w:b/>
          <w:bCs/>
          <w:lang w:val="en-US"/>
        </w:rPr>
        <w:t>3</w:t>
      </w:r>
      <w:r w:rsidRPr="0018455D">
        <w:rPr>
          <w:b/>
          <w:bCs/>
          <w:lang w:val="en-US"/>
        </w:rPr>
        <w:t>.Task</w:t>
      </w:r>
      <w:proofErr w:type="gramEnd"/>
      <w:r w:rsidRPr="0018455D">
        <w:rPr>
          <w:b/>
          <w:bCs/>
          <w:lang w:val="en-US"/>
        </w:rPr>
        <w:t xml:space="preserve"> Paradigm</w:t>
      </w:r>
    </w:p>
    <w:p w14:paraId="7AD064B7" w14:textId="77777777" w:rsidR="00FA4832" w:rsidRPr="005C4637" w:rsidRDefault="00FA4832" w:rsidP="00FA4832">
      <w:pPr>
        <w:jc w:val="both"/>
        <w:rPr>
          <w:b/>
          <w:bCs/>
          <w:lang w:val="en-US"/>
        </w:rPr>
      </w:pPr>
      <w:r>
        <w:rPr>
          <w:lang w:val="en-US"/>
        </w:rPr>
        <w:t>T</w:t>
      </w:r>
      <w:r w:rsidRPr="0018455D">
        <w:rPr>
          <w:lang w:val="en-US"/>
        </w:rPr>
        <w:t>he experimental paradigm is based on the "Trust Game," a widely used game-theoretical model in the literature that captures interpersonal trust</w:t>
      </w:r>
      <w:r w:rsidRPr="0018455D">
        <w:rPr>
          <w:lang w:val="en-US"/>
        </w:rPr>
        <w:fldChar w:fldCharType="begin"/>
      </w:r>
      <w:r>
        <w:rPr>
          <w:lang w:val="en-US"/>
        </w:rPr>
        <w:instrText xml:space="preserve"> ADDIN ZOTERO_ITEM CSL_CITATION {"citationID":"3c4VG86Y","properties":{"formattedCitation":"\\super 32\\nosupersub{}","plainCitation":"32","noteIndex":0},"citationItems":[{"id":"usDQrzdD/UoGgAq5I","uris":["http://zotero.org/users/10303855/items/YZ4U3224"],"itemData":{"id":153,"type":"article-journal","container-title":"Frontiers in Neuroscience","DOI":"10.3389/fnins.2019.00887","ISSN":"1662-453X","journalAbbreviation":"Front. Neurosci.","page":"887","source":"DOI.org (Crossref)","title":"Trust Games and Beyond","volume":"13","author":[{"family":"Alós-Ferrer","given":"Carlos"},{"family":"Farolfi","given":"Federica"}],"issued":{"date-parts":[["2019",9,10]]}}}],"schema":"https://github.com/citation-style-language/schema/raw/master/csl-citation.json"} </w:instrText>
      </w:r>
      <w:r w:rsidRPr="0018455D">
        <w:rPr>
          <w:lang w:val="en-US"/>
        </w:rPr>
        <w:fldChar w:fldCharType="separate"/>
      </w:r>
      <w:r w:rsidRPr="00140379">
        <w:rPr>
          <w:vertAlign w:val="superscript"/>
        </w:rPr>
        <w:t>32</w:t>
      </w:r>
      <w:r w:rsidRPr="0018455D">
        <w:rPr>
          <w:lang w:val="en-US"/>
        </w:rPr>
        <w:fldChar w:fldCharType="end"/>
      </w:r>
      <w:r w:rsidRPr="0018455D">
        <w:rPr>
          <w:lang w:val="en-US"/>
        </w:rPr>
        <w:t xml:space="preserve">. </w:t>
      </w:r>
      <w:r w:rsidRPr="005B25B3">
        <w:rPr>
          <w:lang w:val="en-US"/>
        </w:rPr>
        <w:t>Participants met the trustee in person before the fMRI sessions to enhance their belief that they were interacting with a real partner during the task, although the trustee’s responses were preprogrammed</w:t>
      </w:r>
      <w:r w:rsidRPr="007C0C6E">
        <w:rPr>
          <w:lang w:val="en-US"/>
        </w:rPr>
        <w:t xml:space="preserve">. </w:t>
      </w:r>
      <w:r w:rsidRPr="005712EA">
        <w:rPr>
          <w:lang w:val="en-US"/>
        </w:rPr>
        <w:t xml:space="preserve">The </w:t>
      </w:r>
      <w:r>
        <w:rPr>
          <w:lang w:val="en-US"/>
        </w:rPr>
        <w:t>greeting of trustee to participants</w:t>
      </w:r>
      <w:r w:rsidRPr="005712EA">
        <w:rPr>
          <w:lang w:val="en-US"/>
        </w:rPr>
        <w:t xml:space="preserve"> procedure was standardized to prevent any influence on baseline trust levels</w:t>
      </w:r>
      <w:r w:rsidRPr="007C0C6E">
        <w:rPr>
          <w:lang w:val="en-US"/>
        </w:rPr>
        <w:t>.</w:t>
      </w:r>
    </w:p>
    <w:p w14:paraId="27B4C6AE" w14:textId="77777777" w:rsidR="00FA4832" w:rsidRPr="0018455D" w:rsidRDefault="00FA4832" w:rsidP="00FA4832">
      <w:pPr>
        <w:jc w:val="both"/>
        <w:rPr>
          <w:lang w:val="en-US"/>
        </w:rPr>
      </w:pPr>
    </w:p>
    <w:p w14:paraId="5D36C0F9" w14:textId="77777777" w:rsidR="00FA4832" w:rsidRPr="0018455D" w:rsidRDefault="00FA4832" w:rsidP="00FA4832">
      <w:pPr>
        <w:jc w:val="both"/>
        <w:rPr>
          <w:lang w:val="en-US"/>
        </w:rPr>
      </w:pPr>
      <w:r w:rsidRPr="0018455D">
        <w:rPr>
          <w:lang w:val="en-US"/>
        </w:rPr>
        <w:t xml:space="preserve">In each trial, the participant starts with an initial endowment of 40 Turkish Lira (TL) and must decide whether to keep the money or invest it by transferring it to </w:t>
      </w:r>
      <w:r>
        <w:rPr>
          <w:lang w:val="en-US"/>
        </w:rPr>
        <w:t>the</w:t>
      </w:r>
      <w:r w:rsidRPr="0018455D">
        <w:rPr>
          <w:lang w:val="en-US"/>
        </w:rPr>
        <w:t xml:space="preserve"> trustee. If the participant keeps the money, it is evenly split between them and the trustee. If the participant chooses to invest, the amount </w:t>
      </w:r>
      <w:proofErr w:type="gramStart"/>
      <w:r w:rsidRPr="0018455D">
        <w:rPr>
          <w:lang w:val="en-US"/>
        </w:rPr>
        <w:t>is tripled</w:t>
      </w:r>
      <w:proofErr w:type="gramEnd"/>
      <w:r w:rsidRPr="0018455D">
        <w:rPr>
          <w:lang w:val="en-US"/>
        </w:rPr>
        <w:t xml:space="preserve"> to 120 TL, and the trustee then decides whether to share this amount equally with the participant or keep all of it. </w:t>
      </w:r>
      <w:r w:rsidRPr="005B25B3">
        <w:rPr>
          <w:lang w:val="en-US"/>
        </w:rPr>
        <w:t xml:space="preserve">The </w:t>
      </w:r>
      <w:r>
        <w:rPr>
          <w:lang w:val="en-US"/>
        </w:rPr>
        <w:t>task</w:t>
      </w:r>
      <w:r w:rsidRPr="005B25B3">
        <w:rPr>
          <w:lang w:val="en-US"/>
        </w:rPr>
        <w:t xml:space="preserve"> consisted of three blocks, each comprising 20 trials, with varying levels of reciprocity toward the investor, for a total of 60 trials</w:t>
      </w:r>
      <w:r>
        <w:rPr>
          <w:lang w:val="en-US"/>
        </w:rPr>
        <w:t>.</w:t>
      </w:r>
      <w:r w:rsidRPr="0018455D">
        <w:rPr>
          <w:lang w:val="en-US"/>
        </w:rPr>
        <w:t xml:space="preserve"> Each trial follows a standardized sequence presented across six screens (See Figure 1). Each trial of the Trust Game followed a structured sequence of six consecutive screens, designed to capture the participant's decision-making and trust behavior under controlled experimental conditions (Figure 2).</w:t>
      </w:r>
    </w:p>
    <w:p w14:paraId="18960067" w14:textId="77777777" w:rsidR="00FA4832" w:rsidRPr="0018455D" w:rsidRDefault="00FA4832" w:rsidP="00FA4832">
      <w:pPr>
        <w:jc w:val="both"/>
        <w:rPr>
          <w:lang w:val="en-US"/>
        </w:rPr>
      </w:pPr>
      <w:r w:rsidRPr="0018455D">
        <w:rPr>
          <w:lang w:val="en-US"/>
        </w:rPr>
        <w:br/>
        <w:t xml:space="preserve">In the first decision screen, participants saw a photo of the trustee alongside their initial endowment of 40 Turkish Lira (TL). They were instructed to decide whether to keep the money or invest it by transferring it to the trustee. No action or response was needed during this phase, </w:t>
      </w:r>
      <w:r w:rsidRPr="0018455D">
        <w:rPr>
          <w:lang w:val="en-US"/>
        </w:rPr>
        <w:lastRenderedPageBreak/>
        <w:t>and the screen remained visible for 6 seconds. On the second-choice screen, participants were asked to confirm their earlier decision (“invest” or “keep”) by pressing the appropriate button within a 3-second window. Before starting the task, they were informed that failing to respond would result in zero earnings for that trial (0 TL) and that missing responses on five trials—whether in a row or not—would lead to the termination of the entire task</w:t>
      </w:r>
      <w:r>
        <w:rPr>
          <w:lang w:val="en-US"/>
        </w:rPr>
        <w:t xml:space="preserve"> and exclusion of the subject</w:t>
      </w:r>
      <w:r w:rsidRPr="0018455D">
        <w:rPr>
          <w:lang w:val="en-US"/>
        </w:rPr>
        <w:t>. A 3-second waiting screen followed, during which participants anticipated the trustee's response. The fourth outcome screen showed the trustee’s decision—whether to share the tripled amount or keep it entirely—along with the outcome of the trial, including the participant’s earnings. In the fifth jitter screen inter-trial interval followed, lasting randomly between 3 and 6 seconds. During this time, a blank screen was displayed to introduce temporal variability between trials.  In the last sixth fixation screen, to maintain a total inter-trial interval of 9 seconds, a fixation cross (“+”) was shown for the remaining time—ranging from 3 to 6 seconds—depending on the length of the preceding jittered interval.</w:t>
      </w:r>
    </w:p>
    <w:p w14:paraId="4D9A3121" w14:textId="77777777" w:rsidR="00FA4832" w:rsidRPr="0018455D" w:rsidRDefault="00FA4832" w:rsidP="00FA4832">
      <w:pPr>
        <w:jc w:val="both"/>
        <w:rPr>
          <w:lang w:val="en-US"/>
        </w:rPr>
      </w:pPr>
    </w:p>
    <w:p w14:paraId="2F5BA44B" w14:textId="77777777" w:rsidR="00FA4832" w:rsidRPr="0018455D" w:rsidRDefault="00FA4832" w:rsidP="00FA4832">
      <w:pPr>
        <w:jc w:val="both"/>
        <w:rPr>
          <w:lang w:val="en-US"/>
        </w:rPr>
      </w:pPr>
      <w:r w:rsidRPr="0018455D">
        <w:rPr>
          <w:lang w:val="en-US"/>
        </w:rPr>
        <w:t>Additionally, after every 10 trials, participants were prompted to rate their level of trust in the trustee using a scale from 1 (not at all) to 7 (completely). This rating screen remained visible for 9 seconds. Each trial lasted 24 seconds, leading to a total task duration of approximately 24 minutes and 54 seconds.</w:t>
      </w:r>
    </w:p>
    <w:p w14:paraId="69BA9AE6" w14:textId="77777777" w:rsidR="00FA4832" w:rsidRPr="0018455D" w:rsidRDefault="00FA4832" w:rsidP="00FA4832">
      <w:pPr>
        <w:jc w:val="both"/>
        <w:rPr>
          <w:noProof/>
          <w:lang w:val="en-US"/>
        </w:rPr>
      </w:pPr>
    </w:p>
    <w:p w14:paraId="36D55899" w14:textId="77777777" w:rsidR="00FA4832" w:rsidRPr="0018455D" w:rsidRDefault="00FA4832" w:rsidP="00FA4832">
      <w:pPr>
        <w:jc w:val="both"/>
        <w:rPr>
          <w:noProof/>
          <w:lang w:val="en-US"/>
        </w:rPr>
      </w:pPr>
      <w:r w:rsidRPr="0018455D">
        <w:rPr>
          <w:noProof/>
          <w:lang w:val="en-US"/>
        </w:rPr>
        <w:t>[Insert Figure 1]</w:t>
      </w:r>
    </w:p>
    <w:p w14:paraId="31B4C6C4" w14:textId="77777777" w:rsidR="00FA4832" w:rsidRPr="0018455D" w:rsidRDefault="00FA4832" w:rsidP="00FA4832">
      <w:pPr>
        <w:jc w:val="both"/>
        <w:rPr>
          <w:lang w:val="en-US"/>
        </w:rPr>
      </w:pPr>
    </w:p>
    <w:p w14:paraId="7F3A173B" w14:textId="77777777" w:rsidR="00FA4832" w:rsidRPr="0018455D" w:rsidRDefault="00FA4832" w:rsidP="00FA4832">
      <w:pPr>
        <w:jc w:val="both"/>
        <w:rPr>
          <w:lang w:val="en-US"/>
        </w:rPr>
      </w:pPr>
      <w:r w:rsidRPr="0018455D">
        <w:rPr>
          <w:b/>
          <w:bCs/>
          <w:lang w:val="en-US"/>
        </w:rPr>
        <w:t>Figure 1. Single-trial timeline of the Trust Game.</w:t>
      </w:r>
      <w:r w:rsidRPr="0018455D">
        <w:rPr>
          <w:lang w:val="en-US"/>
        </w:rPr>
        <w:t xml:space="preserve"> At the start of each trial, the participant receives an endowment of 40 Turkish Lira (TL) and chooses to Keep or Invest (transfer to a trustee). If they Keep, the 40 TL is split evenly (20 TL each). If they Invest, the transfer is tripled to 120 TL; the trustee then either shares it equally (60 TL each) or keeps the entire 120 TL. The six panels illustrate the standardized sequence of screens presented on every trial—from endowment and choice to trustee decision and outcome feedback. The task comprised three blocks of 20 trials (60 trials total), with the core decision on each trial being whether to trust the trustee.</w:t>
      </w:r>
    </w:p>
    <w:p w14:paraId="729A1DF4" w14:textId="77777777" w:rsidR="00FA4832" w:rsidRPr="0018455D" w:rsidRDefault="00FA4832" w:rsidP="00FA4832">
      <w:pPr>
        <w:jc w:val="both"/>
        <w:rPr>
          <w:lang w:val="en-US"/>
        </w:rPr>
      </w:pPr>
    </w:p>
    <w:p w14:paraId="1D7C0CA8" w14:textId="77777777" w:rsidR="00FA4832" w:rsidRPr="0018455D" w:rsidRDefault="00FA4832" w:rsidP="00FA4832">
      <w:pPr>
        <w:jc w:val="both"/>
        <w:rPr>
          <w:noProof/>
          <w:lang w:val="en-US"/>
        </w:rPr>
      </w:pPr>
      <w:r w:rsidRPr="0018455D">
        <w:rPr>
          <w:noProof/>
          <w:lang w:val="en-US"/>
        </w:rPr>
        <w:t>[ Insert Figure 2]</w:t>
      </w:r>
    </w:p>
    <w:p w14:paraId="3AFE5BFA" w14:textId="77777777" w:rsidR="00FA4832" w:rsidRPr="0018455D" w:rsidRDefault="00FA4832" w:rsidP="00FA4832">
      <w:pPr>
        <w:jc w:val="both"/>
        <w:rPr>
          <w:lang w:val="en-US"/>
        </w:rPr>
      </w:pPr>
    </w:p>
    <w:p w14:paraId="4B1B6295" w14:textId="77777777" w:rsidR="00FA4832" w:rsidRPr="0018455D" w:rsidRDefault="00FA4832" w:rsidP="00FA4832">
      <w:pPr>
        <w:jc w:val="both"/>
        <w:rPr>
          <w:lang w:val="en-US"/>
        </w:rPr>
      </w:pPr>
      <w:r w:rsidRPr="0018455D">
        <w:rPr>
          <w:b/>
          <w:bCs/>
          <w:lang w:val="en-US"/>
        </w:rPr>
        <w:t>Figure 2. Trial screens and timing in the Trust Game.</w:t>
      </w:r>
      <w:r w:rsidRPr="0018455D">
        <w:rPr>
          <w:lang w:val="en-US"/>
        </w:rPr>
        <w:t xml:space="preserve"> fMRI task model for each trial. Each participant plays the game as sets of 20 trials, i.e., 60 trials in total. (1) Decision/anticipation (6 s): trustee photo + 40 TL endowment shown; no response required. (2) Choice confirmation (≤3 s): participants confirm Keep vs Invest via button press; no response yields 0 TL for that trial; five missed responses (consecutive or not) terminate the task. (3) Anticipation (3 s): waiting for trustee’s decision. (4) Outcome (3 s): trustee’s choice display </w:t>
      </w:r>
      <w:proofErr w:type="gramStart"/>
      <w:r w:rsidRPr="0018455D">
        <w:rPr>
          <w:lang w:val="en-US"/>
        </w:rPr>
        <w:t>share</w:t>
      </w:r>
      <w:proofErr w:type="gramEnd"/>
      <w:r w:rsidRPr="0018455D">
        <w:rPr>
          <w:lang w:val="en-US"/>
        </w:rPr>
        <w:t xml:space="preserve"> the tripled investment (120 TL, 60 TL each) or </w:t>
      </w:r>
      <w:proofErr w:type="gramStart"/>
      <w:r w:rsidRPr="0018455D">
        <w:rPr>
          <w:lang w:val="en-US"/>
        </w:rPr>
        <w:t>keep all—</w:t>
      </w:r>
      <w:proofErr w:type="gramEnd"/>
      <w:r w:rsidRPr="0018455D">
        <w:rPr>
          <w:lang w:val="en-US"/>
        </w:rPr>
        <w:t>along with participant earnings. (E) Jittered ITI (blank) 3–6 s. (F) Fixation 3–6 s, adjusted to yield a fixed 9 s total inter-trial interval. Durations in seconds unless noted.</w:t>
      </w:r>
    </w:p>
    <w:p w14:paraId="3B308B83" w14:textId="77777777" w:rsidR="00A74C0F" w:rsidRDefault="00A74C0F"/>
    <w:p w14:paraId="4E570BF7" w14:textId="77777777" w:rsidR="00BE273B" w:rsidRDefault="00BE273B" w:rsidP="00BE273B">
      <w:pPr>
        <w:rPr>
          <w:rFonts w:eastAsia="Calibri"/>
          <w:b/>
          <w:bCs/>
          <w:lang w:val="en-US"/>
        </w:rPr>
      </w:pPr>
    </w:p>
    <w:p w14:paraId="5E05F8E4" w14:textId="77777777" w:rsidR="00BE273B" w:rsidRDefault="00BE273B" w:rsidP="00BE273B">
      <w:pPr>
        <w:rPr>
          <w:rFonts w:eastAsia="Calibri"/>
          <w:b/>
          <w:bCs/>
          <w:lang w:val="en-US"/>
        </w:rPr>
      </w:pPr>
    </w:p>
    <w:p w14:paraId="4B68C4ED" w14:textId="7C72DFF0" w:rsidR="00BE273B" w:rsidRDefault="00BE273B" w:rsidP="00BE273B">
      <w:pPr>
        <w:rPr>
          <w:rFonts w:eastAsia="Calibri"/>
          <w:b/>
          <w:bCs/>
          <w:lang w:val="en-US"/>
        </w:rPr>
      </w:pPr>
      <w:r w:rsidRPr="0018455D">
        <w:rPr>
          <w:rFonts w:eastAsia="Calibri"/>
          <w:b/>
          <w:bCs/>
          <w:lang w:val="en-US"/>
        </w:rPr>
        <w:lastRenderedPageBreak/>
        <w:t>2.</w:t>
      </w:r>
      <w:r>
        <w:rPr>
          <w:rFonts w:eastAsia="Calibri"/>
          <w:b/>
          <w:bCs/>
          <w:lang w:val="en-US"/>
        </w:rPr>
        <w:t>4</w:t>
      </w:r>
      <w:r w:rsidRPr="0018455D">
        <w:rPr>
          <w:rFonts w:eastAsia="Calibri"/>
          <w:b/>
          <w:bCs/>
          <w:lang w:val="en-US"/>
        </w:rPr>
        <w:t>. Computational Learning Model Based on Rescorla-Wagner</w:t>
      </w:r>
    </w:p>
    <w:p w14:paraId="16FC313A" w14:textId="77777777" w:rsidR="008D27A3" w:rsidRDefault="008D27A3" w:rsidP="00BE273B">
      <w:pPr>
        <w:rPr>
          <w:rFonts w:eastAsia="Calibri"/>
          <w:b/>
          <w:bCs/>
          <w:lang w:val="en-US"/>
        </w:rPr>
      </w:pPr>
    </w:p>
    <w:p w14:paraId="1A3D2F5B" w14:textId="18E18744" w:rsidR="003A74AE" w:rsidRDefault="003A74AE" w:rsidP="00BE273B">
      <w:pPr>
        <w:rPr>
          <w:rFonts w:eastAsia="Calibri"/>
          <w:lang w:val="en-US"/>
        </w:rPr>
      </w:pPr>
      <w:r w:rsidRPr="003A74AE">
        <w:rPr>
          <w:rFonts w:eastAsia="Calibri"/>
          <w:lang w:val="en-US"/>
        </w:rPr>
        <w:t>We implemented</w:t>
      </w:r>
      <w:r>
        <w:rPr>
          <w:rFonts w:eastAsia="Calibri"/>
          <w:lang w:val="en-US"/>
        </w:rPr>
        <w:t xml:space="preserve"> a standard Rescorla-Wagner Reinforcement Le</w:t>
      </w:r>
      <w:r w:rsidR="00D90A9C">
        <w:rPr>
          <w:rFonts w:eastAsia="Calibri"/>
          <w:lang w:val="en-US"/>
        </w:rPr>
        <w:t xml:space="preserve">arning model to characterize the trial-by-trial reward predictions and learning dynamics of participants during </w:t>
      </w:r>
      <w:r w:rsidR="00380480">
        <w:rPr>
          <w:rFonts w:eastAsia="Calibri"/>
          <w:lang w:val="en-US"/>
        </w:rPr>
        <w:t>the sequential invest</w:t>
      </w:r>
      <w:r w:rsidR="00876D82">
        <w:rPr>
          <w:rFonts w:eastAsia="Calibri"/>
          <w:lang w:val="en-US"/>
        </w:rPr>
        <w:t xml:space="preserve">ment task. </w:t>
      </w:r>
      <w:r w:rsidR="00AF3EBC">
        <w:rPr>
          <w:rFonts w:eastAsia="Calibri"/>
          <w:lang w:val="en-US"/>
        </w:rPr>
        <w:t xml:space="preserve">Our pipeline of analysis focused on learning </w:t>
      </w:r>
      <w:proofErr w:type="gramStart"/>
      <w:r w:rsidR="00AF3EBC">
        <w:rPr>
          <w:rFonts w:eastAsia="Calibri"/>
          <w:lang w:val="en-US"/>
        </w:rPr>
        <w:t>rate (\</w:t>
      </w:r>
      <w:proofErr w:type="gramEnd"/>
      <w:r w:rsidR="00AF3EBC">
        <w:rPr>
          <w:rFonts w:eastAsia="Calibri"/>
          <w:lang w:val="en-US"/>
        </w:rPr>
        <w:t xml:space="preserve">alpha) and inverse temperature for </w:t>
      </w:r>
      <w:proofErr w:type="spellStart"/>
      <w:r w:rsidR="0027086F">
        <w:rPr>
          <w:rFonts w:eastAsia="Calibri"/>
          <w:lang w:val="en-US"/>
        </w:rPr>
        <w:t>S</w:t>
      </w:r>
      <w:r w:rsidR="00313F44">
        <w:rPr>
          <w:rFonts w:eastAsia="Calibri"/>
          <w:lang w:val="en-US"/>
        </w:rPr>
        <w:t>oftmax</w:t>
      </w:r>
      <w:proofErr w:type="spellEnd"/>
      <w:r w:rsidR="00313F44">
        <w:rPr>
          <w:rFonts w:eastAsia="Calibri"/>
          <w:lang w:val="en-US"/>
        </w:rPr>
        <w:t xml:space="preserve"> function.</w:t>
      </w:r>
    </w:p>
    <w:p w14:paraId="0783BA40" w14:textId="77777777" w:rsidR="00313F44" w:rsidRDefault="00313F44" w:rsidP="00BE273B">
      <w:pPr>
        <w:rPr>
          <w:rFonts w:eastAsia="Calibri"/>
          <w:lang w:val="en-US"/>
        </w:rPr>
      </w:pPr>
    </w:p>
    <w:p w14:paraId="2C0593E0" w14:textId="5455E5B9" w:rsidR="00313F44" w:rsidRDefault="00313F44" w:rsidP="00BE273B">
      <w:pPr>
        <w:rPr>
          <w:rFonts w:eastAsia="Calibri"/>
          <w:b/>
          <w:bCs/>
          <w:lang w:val="en-US"/>
        </w:rPr>
      </w:pPr>
      <w:r w:rsidRPr="00D8199B">
        <w:rPr>
          <w:rFonts w:eastAsia="Calibri"/>
          <w:b/>
          <w:bCs/>
          <w:lang w:val="en-US"/>
        </w:rPr>
        <w:t>2.4.1 Model Architecture</w:t>
      </w:r>
    </w:p>
    <w:p w14:paraId="3DB4AA63" w14:textId="77777777" w:rsidR="00D8199B" w:rsidRPr="00D8199B" w:rsidRDefault="00D8199B" w:rsidP="00BE273B">
      <w:pPr>
        <w:rPr>
          <w:rFonts w:eastAsia="Calibri"/>
          <w:b/>
          <w:bCs/>
          <w:lang w:val="en-US"/>
        </w:rPr>
      </w:pPr>
    </w:p>
    <w:p w14:paraId="7DBD93E5" w14:textId="562ABB46" w:rsidR="00313F44" w:rsidRDefault="00313F44" w:rsidP="00BE273B">
      <w:pPr>
        <w:rPr>
          <w:rFonts w:eastAsia="Calibri"/>
          <w:lang w:val="en-US"/>
        </w:rPr>
      </w:pPr>
      <w:r>
        <w:rPr>
          <w:rFonts w:eastAsia="Calibri"/>
          <w:lang w:val="en-US"/>
        </w:rPr>
        <w:t xml:space="preserve">On each trial </w:t>
      </w:r>
      <m:oMath>
        <m:r>
          <w:rPr>
            <w:rFonts w:ascii="Cambria Math" w:eastAsia="Calibri" w:hAnsi="Cambria Math"/>
            <w:lang w:val="en-US"/>
          </w:rPr>
          <m:t>t</m:t>
        </m:r>
      </m:oMath>
      <w:r>
        <w:rPr>
          <w:rFonts w:eastAsia="Calibri"/>
          <w:lang w:val="en-US"/>
        </w:rPr>
        <w:t>, the predicted value of investing (</w:t>
      </w:r>
      <m:oMath>
        <m:sSub>
          <m:sSubPr>
            <m:ctrlPr>
              <w:rPr>
                <w:rFonts w:ascii="Cambria Math" w:eastAsia="Calibri" w:hAnsi="Cambria Math"/>
                <w:i/>
                <w:lang w:val="en-US"/>
              </w:rPr>
            </m:ctrlPr>
          </m:sSubPr>
          <m:e>
            <m:r>
              <w:rPr>
                <w:rFonts w:ascii="Cambria Math" w:eastAsia="Calibri" w:hAnsi="Cambria Math"/>
                <w:lang w:val="en-US"/>
              </w:rPr>
              <m:t>V</m:t>
            </m:r>
          </m:e>
          <m:sub>
            <m:r>
              <w:rPr>
                <w:rFonts w:ascii="Cambria Math" w:eastAsia="Calibri" w:hAnsi="Cambria Math"/>
                <w:lang w:val="en-US"/>
              </w:rPr>
              <m:t>t</m:t>
            </m:r>
          </m:sub>
        </m:sSub>
      </m:oMath>
      <w:r>
        <w:rPr>
          <w:rFonts w:eastAsia="Calibri"/>
          <w:lang w:val="en-US"/>
        </w:rPr>
        <w:t>) was updated according to the standard delta rule:</w:t>
      </w:r>
    </w:p>
    <w:p w14:paraId="549CDF7E" w14:textId="2ADF6146" w:rsidR="00313F44" w:rsidRDefault="00733E4C" w:rsidP="00BE273B">
      <w:pPr>
        <w:rPr>
          <w:rFonts w:eastAsia="Calibri"/>
          <w:lang w:val="en-US"/>
        </w:rPr>
      </w:pPr>
      <m:oMathPara>
        <m:oMath>
          <m:sSub>
            <m:sSubPr>
              <m:ctrlPr>
                <w:rPr>
                  <w:rFonts w:ascii="Cambria Math" w:eastAsia="Calibri" w:hAnsi="Cambria Math"/>
                  <w:i/>
                  <w:lang w:val="en-US"/>
                </w:rPr>
              </m:ctrlPr>
            </m:sSubPr>
            <m:e>
              <m:r>
                <w:rPr>
                  <w:rFonts w:ascii="Cambria Math" w:eastAsia="Calibri" w:hAnsi="Cambria Math"/>
                  <w:lang w:val="en-US"/>
                </w:rPr>
                <m:t>V</m:t>
              </m:r>
            </m:e>
            <m:sub>
              <m:r>
                <w:rPr>
                  <w:rFonts w:ascii="Cambria Math" w:eastAsia="Calibri" w:hAnsi="Cambria Math"/>
                  <w:lang w:val="en-US"/>
                </w:rPr>
                <m:t>t+1</m:t>
              </m:r>
            </m:sub>
          </m:sSub>
          <m:r>
            <w:rPr>
              <w:rFonts w:ascii="Cambria Math" w:eastAsia="Calibri" w:hAnsi="Cambria Math"/>
              <w:lang w:val="en-US"/>
            </w:rPr>
            <m:t xml:space="preserve"> = </m:t>
          </m:r>
          <m:sSub>
            <m:sSubPr>
              <m:ctrlPr>
                <w:rPr>
                  <w:rFonts w:ascii="Cambria Math" w:eastAsia="Calibri" w:hAnsi="Cambria Math"/>
                  <w:i/>
                  <w:lang w:val="en-US"/>
                </w:rPr>
              </m:ctrlPr>
            </m:sSubPr>
            <m:e>
              <m:r>
                <w:rPr>
                  <w:rFonts w:ascii="Cambria Math" w:eastAsia="Calibri" w:hAnsi="Cambria Math"/>
                  <w:lang w:val="en-US"/>
                </w:rPr>
                <m:t>V</m:t>
              </m:r>
            </m:e>
            <m:sub>
              <m:r>
                <w:rPr>
                  <w:rFonts w:ascii="Cambria Math" w:eastAsia="Calibri" w:hAnsi="Cambria Math"/>
                  <w:lang w:val="en-US"/>
                </w:rPr>
                <m:t>t</m:t>
              </m:r>
            </m:sub>
          </m:sSub>
          <m:r>
            <w:rPr>
              <w:rFonts w:ascii="Cambria Math" w:eastAsia="Calibri" w:hAnsi="Cambria Math"/>
              <w:lang w:val="en-US"/>
            </w:rPr>
            <m:t xml:space="preserve"> +</m:t>
          </m:r>
          <m:r>
            <w:rPr>
              <w:rFonts w:ascii="Cambria Math" w:eastAsia="Calibri" w:hAnsi="Cambria Math"/>
              <w:lang w:val="en-US"/>
            </w:rPr>
            <m:t>α</m:t>
          </m:r>
          <m:r>
            <w:rPr>
              <w:rFonts w:ascii="Cambria Math" w:eastAsia="Calibri" w:hAnsi="Cambria Math"/>
              <w:lang w:val="en-US"/>
            </w:rPr>
            <m:t xml:space="preserve"> </m:t>
          </m:r>
          <m:r>
            <w:rPr>
              <w:rFonts w:ascii="Cambria Math" w:eastAsia="Calibri" w:hAnsi="Cambria Math"/>
              <w:lang w:val="en-US"/>
            </w:rPr>
            <m:t> ⋅</m:t>
          </m:r>
          <m:r>
            <w:rPr>
              <w:rFonts w:ascii="Cambria Math" w:eastAsia="Calibri" w:hAnsi="Cambria Math"/>
              <w:lang w:val="en-US"/>
            </w:rPr>
            <m:t xml:space="preserve"> (</m:t>
          </m:r>
          <m:sSub>
            <m:sSubPr>
              <m:ctrlPr>
                <w:rPr>
                  <w:rFonts w:ascii="Cambria Math" w:eastAsia="Calibri" w:hAnsi="Cambria Math"/>
                  <w:i/>
                  <w:lang w:val="en-US"/>
                </w:rPr>
              </m:ctrlPr>
            </m:sSubPr>
            <m:e>
              <m:r>
                <w:rPr>
                  <w:rFonts w:ascii="Cambria Math" w:eastAsia="Calibri" w:hAnsi="Cambria Math"/>
                  <w:lang w:val="en-US"/>
                </w:rPr>
                <m:t>R</m:t>
              </m:r>
            </m:e>
            <m:sub>
              <m:r>
                <w:rPr>
                  <w:rFonts w:ascii="Cambria Math" w:eastAsia="Calibri" w:hAnsi="Cambria Math"/>
                  <w:lang w:val="en-US"/>
                </w:rPr>
                <m:t>t</m:t>
              </m:r>
            </m:sub>
          </m:sSub>
          <m:r>
            <w:rPr>
              <w:rFonts w:ascii="Cambria Math" w:eastAsia="Calibri" w:hAnsi="Cambria Math"/>
              <w:lang w:val="en-US"/>
            </w:rPr>
            <m:t xml:space="preserve"> - </m:t>
          </m:r>
          <m:sSub>
            <m:sSubPr>
              <m:ctrlPr>
                <w:rPr>
                  <w:rFonts w:ascii="Cambria Math" w:eastAsia="Calibri" w:hAnsi="Cambria Math"/>
                  <w:i/>
                  <w:lang w:val="en-US"/>
                </w:rPr>
              </m:ctrlPr>
            </m:sSubPr>
            <m:e>
              <m:r>
                <w:rPr>
                  <w:rFonts w:ascii="Cambria Math" w:eastAsia="Calibri" w:hAnsi="Cambria Math"/>
                  <w:lang w:val="en-US"/>
                </w:rPr>
                <m:t>V</m:t>
              </m:r>
            </m:e>
            <m:sub>
              <m:r>
                <w:rPr>
                  <w:rFonts w:ascii="Cambria Math" w:eastAsia="Calibri" w:hAnsi="Cambria Math"/>
                  <w:lang w:val="en-US"/>
                </w:rPr>
                <m:t>t</m:t>
              </m:r>
            </m:sub>
          </m:sSub>
          <m:r>
            <w:rPr>
              <w:rFonts w:ascii="Cambria Math" w:eastAsia="Calibri" w:hAnsi="Cambria Math"/>
              <w:lang w:val="en-US"/>
            </w:rPr>
            <m:t>)</m:t>
          </m:r>
        </m:oMath>
      </m:oMathPara>
    </w:p>
    <w:p w14:paraId="4101385B" w14:textId="0D817599" w:rsidR="00313F44" w:rsidRDefault="00313F44" w:rsidP="00BE273B">
      <w:pPr>
        <w:rPr>
          <w:rFonts w:eastAsia="Calibri"/>
          <w:lang w:val="en-US"/>
        </w:rPr>
      </w:pPr>
    </w:p>
    <w:p w14:paraId="3BEC141A" w14:textId="27838D5D" w:rsidR="00313F44" w:rsidRDefault="00313F44" w:rsidP="00BE273B">
      <w:pPr>
        <w:rPr>
          <w:rFonts w:eastAsia="Calibri"/>
          <w:lang w:val="en-US"/>
        </w:rPr>
      </w:pPr>
      <w:r>
        <w:rPr>
          <w:rFonts w:eastAsia="Calibri"/>
          <w:lang w:val="en-US"/>
        </w:rPr>
        <w:t xml:space="preserve">Where </w:t>
      </w:r>
      <m:oMath>
        <m:sSub>
          <m:sSubPr>
            <m:ctrlPr>
              <w:rPr>
                <w:rFonts w:ascii="Cambria Math" w:eastAsia="Calibri" w:hAnsi="Cambria Math"/>
                <w:i/>
                <w:lang w:val="en-US"/>
              </w:rPr>
            </m:ctrlPr>
          </m:sSubPr>
          <m:e>
            <m:r>
              <w:rPr>
                <w:rFonts w:ascii="Cambria Math" w:eastAsia="Calibri" w:hAnsi="Cambria Math"/>
                <w:lang w:val="en-US"/>
              </w:rPr>
              <m:t>R</m:t>
            </m:r>
          </m:e>
          <m:sub>
            <m:r>
              <w:rPr>
                <w:rFonts w:ascii="Cambria Math" w:eastAsia="Calibri" w:hAnsi="Cambria Math"/>
                <w:lang w:val="en-US"/>
              </w:rPr>
              <m:t>t</m:t>
            </m:r>
          </m:sub>
        </m:sSub>
      </m:oMath>
      <w:r>
        <w:rPr>
          <w:rFonts w:eastAsia="Calibri"/>
          <w:lang w:val="en-US"/>
        </w:rPr>
        <w:t xml:space="preserve"> represents the actual normalized reward </w:t>
      </w:r>
      <w:r w:rsidR="00E51E06">
        <w:rPr>
          <w:rFonts w:eastAsia="Calibri"/>
          <w:lang w:val="en-US"/>
        </w:rPr>
        <w:t xml:space="preserve">received and </w:t>
      </w:r>
      <m:oMath>
        <m:sSub>
          <m:sSubPr>
            <m:ctrlPr>
              <w:rPr>
                <w:rFonts w:ascii="Cambria Math" w:eastAsia="Calibri" w:hAnsi="Cambria Math"/>
                <w:i/>
                <w:lang w:val="en-US"/>
              </w:rPr>
            </m:ctrlPr>
          </m:sSubPr>
          <m:e>
            <m:r>
              <w:rPr>
                <w:rFonts w:ascii="Cambria Math" w:eastAsia="Calibri" w:hAnsi="Cambria Math"/>
                <w:lang w:val="en-US"/>
              </w:rPr>
              <m:t>R</m:t>
            </m:r>
          </m:e>
          <m:sub>
            <m:r>
              <w:rPr>
                <w:rFonts w:ascii="Cambria Math" w:eastAsia="Calibri" w:hAnsi="Cambria Math"/>
                <w:lang w:val="en-US"/>
              </w:rPr>
              <m:t>t</m:t>
            </m:r>
          </m:sub>
        </m:sSub>
        <m:r>
          <w:rPr>
            <w:rFonts w:ascii="Cambria Math" w:eastAsia="Calibri" w:hAnsi="Cambria Math"/>
            <w:lang w:val="en-US"/>
          </w:rPr>
          <m:t xml:space="preserve"> - </m:t>
        </m:r>
        <m:sSub>
          <m:sSubPr>
            <m:ctrlPr>
              <w:rPr>
                <w:rFonts w:ascii="Cambria Math" w:eastAsia="Calibri" w:hAnsi="Cambria Math"/>
                <w:i/>
                <w:lang w:val="en-US"/>
              </w:rPr>
            </m:ctrlPr>
          </m:sSubPr>
          <m:e>
            <m:r>
              <w:rPr>
                <w:rFonts w:ascii="Cambria Math" w:eastAsia="Calibri" w:hAnsi="Cambria Math"/>
                <w:lang w:val="en-US"/>
              </w:rPr>
              <m:t>V</m:t>
            </m:r>
          </m:e>
          <m:sub>
            <m:r>
              <w:rPr>
                <w:rFonts w:ascii="Cambria Math" w:eastAsia="Calibri" w:hAnsi="Cambria Math"/>
                <w:lang w:val="en-US"/>
              </w:rPr>
              <m:t>t</m:t>
            </m:r>
          </m:sub>
        </m:sSub>
      </m:oMath>
      <w:r w:rsidR="00E51E06">
        <w:rPr>
          <w:rFonts w:eastAsia="Calibri"/>
          <w:lang w:val="en-US"/>
        </w:rPr>
        <w:t xml:space="preserve"> defines the Prediction Error (PE). The probability of choosing to invest </w:t>
      </w:r>
      <w:r w:rsidR="00121F92">
        <w:rPr>
          <w:rFonts w:eastAsia="Calibri"/>
          <w:lang w:val="en-US"/>
        </w:rPr>
        <w:t>in</w:t>
      </w:r>
      <w:r w:rsidR="00E51E06">
        <w:rPr>
          <w:rFonts w:eastAsia="Calibri"/>
          <w:lang w:val="en-US"/>
        </w:rPr>
        <w:t xml:space="preserve"> trial </w:t>
      </w:r>
      <m:oMath>
        <m:r>
          <w:rPr>
            <w:rFonts w:ascii="Cambria Math" w:eastAsia="Calibri" w:hAnsi="Cambria Math"/>
            <w:lang w:val="en-US"/>
          </w:rPr>
          <m:t>t</m:t>
        </m:r>
      </m:oMath>
      <w:r w:rsidR="00E16B9D">
        <w:rPr>
          <w:rFonts w:eastAsia="Calibri"/>
          <w:lang w:val="en-US"/>
        </w:rPr>
        <w:t xml:space="preserve"> was determined by a Softmax choice rule:</w:t>
      </w:r>
    </w:p>
    <w:p w14:paraId="4234AD02" w14:textId="77777777" w:rsidR="00E16B9D" w:rsidRDefault="00E16B9D" w:rsidP="00BE273B">
      <w:pPr>
        <w:rPr>
          <w:rFonts w:eastAsia="Calibri"/>
          <w:lang w:val="en-US"/>
        </w:rPr>
      </w:pPr>
    </w:p>
    <w:p w14:paraId="159E1139" w14:textId="62349F5D" w:rsidR="00E16B9D" w:rsidRDefault="00D8199B" w:rsidP="00BE273B">
      <w:pPr>
        <w:rPr>
          <w:rFonts w:eastAsia="Calibri"/>
          <w:lang w:val="en-US"/>
        </w:rPr>
      </w:pPr>
      <m:oMathPara>
        <m:oMath>
          <m:r>
            <w:rPr>
              <w:rFonts w:ascii="Cambria Math" w:eastAsia="Calibri" w:hAnsi="Cambria Math"/>
              <w:lang w:val="en-US"/>
            </w:rPr>
            <m:t>P(</m:t>
          </m:r>
          <m:r>
            <w:rPr>
              <w:rFonts w:ascii="Cambria Math" w:eastAsia="Calibri" w:hAnsi="Cambria Math"/>
              <w:lang w:val="en-US"/>
            </w:rPr>
            <m:t>inves</m:t>
          </m:r>
          <m:sSub>
            <m:sSubPr>
              <m:ctrlPr>
                <w:rPr>
                  <w:rFonts w:ascii="Cambria Math" w:eastAsia="Calibri" w:hAnsi="Cambria Math"/>
                  <w:i/>
                  <w:lang w:val="en-US"/>
                </w:rPr>
              </m:ctrlPr>
            </m:sSubPr>
            <m:e>
              <m:r>
                <w:rPr>
                  <w:rFonts w:ascii="Cambria Math" w:eastAsia="Calibri" w:hAnsi="Cambria Math"/>
                  <w:lang w:val="en-US"/>
                </w:rPr>
                <m:t>t</m:t>
              </m:r>
            </m:e>
            <m:sub>
              <m:r>
                <w:rPr>
                  <w:rFonts w:ascii="Cambria Math" w:eastAsia="Calibri" w:hAnsi="Cambria Math"/>
                  <w:lang w:val="en-US"/>
                </w:rPr>
                <m:t>t</m:t>
              </m:r>
            </m:sub>
          </m:sSub>
          <m:r>
            <w:rPr>
              <w:rFonts w:ascii="Cambria Math" w:eastAsia="Calibri" w:hAnsi="Cambria Math"/>
              <w:lang w:val="en-US"/>
            </w:rPr>
            <m:t xml:space="preserve">) = </m:t>
          </m:r>
          <m:f>
            <m:fPr>
              <m:ctrlPr>
                <w:rPr>
                  <w:rFonts w:ascii="Cambria Math" w:eastAsia="Calibri" w:hAnsi="Cambria Math"/>
                  <w:i/>
                  <w:lang w:val="en-US"/>
                </w:rPr>
              </m:ctrlPr>
            </m:fPr>
            <m:num>
              <m:r>
                <w:rPr>
                  <w:rFonts w:ascii="Cambria Math" w:eastAsia="Calibri" w:hAnsi="Cambria Math"/>
                  <w:lang w:val="en-US"/>
                </w:rPr>
                <m:t>1</m:t>
              </m:r>
            </m:num>
            <m:den>
              <m:r>
                <w:rPr>
                  <w:rFonts w:ascii="Cambria Math" w:eastAsia="Calibri" w:hAnsi="Cambria Math"/>
                  <w:lang w:val="en-US"/>
                </w:rPr>
                <m:t>1+</m:t>
              </m:r>
              <m:sSup>
                <m:sSupPr>
                  <m:ctrlPr>
                    <w:rPr>
                      <w:rFonts w:ascii="Cambria Math" w:eastAsia="Calibri" w:hAnsi="Cambria Math"/>
                      <w:i/>
                      <w:lang w:val="en-US"/>
                    </w:rPr>
                  </m:ctrlPr>
                </m:sSupPr>
                <m:e>
                  <m:r>
                    <w:rPr>
                      <w:rFonts w:ascii="Cambria Math" w:eastAsia="Calibri" w:hAnsi="Cambria Math"/>
                      <w:lang w:val="en-US"/>
                    </w:rPr>
                    <m:t>e</m:t>
                  </m:r>
                </m:e>
                <m:sup>
                  <m:r>
                    <w:rPr>
                      <w:rFonts w:ascii="Cambria Math" w:eastAsia="Calibri" w:hAnsi="Cambria Math"/>
                      <w:lang w:val="en-US"/>
                    </w:rPr>
                    <m:t>-τ(</m:t>
                  </m:r>
                  <m:sSub>
                    <m:sSubPr>
                      <m:ctrlPr>
                        <w:rPr>
                          <w:rFonts w:ascii="Cambria Math" w:eastAsia="Calibri" w:hAnsi="Cambria Math"/>
                          <w:i/>
                          <w:lang w:val="en-US"/>
                        </w:rPr>
                      </m:ctrlPr>
                    </m:sSubPr>
                    <m:e>
                      <m:r>
                        <w:rPr>
                          <w:rFonts w:ascii="Cambria Math" w:eastAsia="Calibri" w:hAnsi="Cambria Math"/>
                          <w:lang w:val="en-US"/>
                        </w:rPr>
                        <m:t>V</m:t>
                      </m:r>
                    </m:e>
                    <m:sub>
                      <m:r>
                        <w:rPr>
                          <w:rFonts w:ascii="Cambria Math" w:eastAsia="Calibri" w:hAnsi="Cambria Math"/>
                          <w:lang w:val="en-US"/>
                        </w:rPr>
                        <m:t>t</m:t>
                      </m:r>
                    </m:sub>
                  </m:sSub>
                  <m:r>
                    <w:rPr>
                      <w:rFonts w:ascii="Cambria Math" w:eastAsia="Calibri" w:hAnsi="Cambria Math"/>
                      <w:lang w:val="en-US"/>
                    </w:rPr>
                    <m:t>-</m:t>
                  </m:r>
                  <m:sSub>
                    <m:sSubPr>
                      <m:ctrlPr>
                        <w:rPr>
                          <w:rFonts w:ascii="Cambria Math" w:eastAsia="Calibri" w:hAnsi="Cambria Math"/>
                          <w:i/>
                          <w:lang w:val="en-US"/>
                        </w:rPr>
                      </m:ctrlPr>
                    </m:sSubPr>
                    <m:e>
                      <m:r>
                        <w:rPr>
                          <w:rFonts w:ascii="Cambria Math" w:eastAsia="Calibri" w:hAnsi="Cambria Math"/>
                          <w:lang w:val="en-US"/>
                        </w:rPr>
                        <m:t>V</m:t>
                      </m:r>
                    </m:e>
                    <m:sub>
                      <m:r>
                        <w:rPr>
                          <w:rFonts w:ascii="Cambria Math" w:eastAsia="Calibri" w:hAnsi="Cambria Math"/>
                          <w:lang w:val="en-US"/>
                        </w:rPr>
                        <m:t>keep</m:t>
                      </m:r>
                    </m:sub>
                  </m:sSub>
                  <m:r>
                    <w:rPr>
                      <w:rFonts w:ascii="Cambria Math" w:eastAsia="Calibri" w:hAnsi="Cambria Math"/>
                      <w:lang w:val="en-US"/>
                    </w:rPr>
                    <m:t>)</m:t>
                  </m:r>
                </m:sup>
              </m:sSup>
            </m:den>
          </m:f>
        </m:oMath>
      </m:oMathPara>
    </w:p>
    <w:p w14:paraId="326660CF" w14:textId="77777777" w:rsidR="00E16B9D" w:rsidRDefault="00E16B9D" w:rsidP="00BE273B">
      <w:pPr>
        <w:rPr>
          <w:rFonts w:eastAsia="Calibri"/>
          <w:lang w:val="en-US"/>
        </w:rPr>
      </w:pPr>
    </w:p>
    <w:p w14:paraId="76F17692" w14:textId="76711300" w:rsidR="0080549D" w:rsidRDefault="00E16B9D" w:rsidP="00BE273B">
      <w:pPr>
        <w:rPr>
          <w:rFonts w:eastAsia="Calibri"/>
          <w:lang w:val="en-US"/>
        </w:rPr>
      </w:pPr>
      <w:r>
        <w:rPr>
          <w:rFonts w:eastAsia="Calibri"/>
          <w:lang w:val="en-US"/>
        </w:rPr>
        <w:t xml:space="preserve">Here, </w:t>
      </w:r>
      <m:oMath>
        <m:sSub>
          <m:sSubPr>
            <m:ctrlPr>
              <w:rPr>
                <w:rFonts w:ascii="Cambria Math" w:eastAsia="Calibri" w:hAnsi="Cambria Math"/>
                <w:i/>
                <w:lang w:val="en-US"/>
              </w:rPr>
            </m:ctrlPr>
          </m:sSubPr>
          <m:e>
            <m:r>
              <w:rPr>
                <w:rFonts w:ascii="Cambria Math" w:eastAsia="Calibri" w:hAnsi="Cambria Math"/>
                <w:lang w:val="en-US"/>
              </w:rPr>
              <m:t>V</m:t>
            </m:r>
          </m:e>
          <m:sub>
            <m:r>
              <w:rPr>
                <w:rFonts w:ascii="Cambria Math" w:eastAsia="Calibri" w:hAnsi="Cambria Math"/>
                <w:lang w:val="en-US"/>
              </w:rPr>
              <m:t>keep</m:t>
            </m:r>
          </m:sub>
        </m:sSub>
      </m:oMath>
      <w:r>
        <w:rPr>
          <w:rFonts w:eastAsia="Calibri"/>
          <w:lang w:val="en-US"/>
        </w:rPr>
        <w:t xml:space="preserve"> represents the constant value of the safe option </w:t>
      </w:r>
      <w:r w:rsidR="000D76FE">
        <w:rPr>
          <w:rFonts w:eastAsia="Calibri"/>
          <w:lang w:val="en-US"/>
        </w:rPr>
        <w:t xml:space="preserve">and </w:t>
      </w:r>
      <m:oMath>
        <m:r>
          <w:rPr>
            <w:rFonts w:ascii="Cambria Math" w:eastAsia="Calibri" w:hAnsi="Cambria Math"/>
            <w:lang w:val="en-US"/>
          </w:rPr>
          <m:t>τ</m:t>
        </m:r>
      </m:oMath>
      <w:r w:rsidR="00806EC3">
        <w:rPr>
          <w:rFonts w:eastAsia="Calibri"/>
          <w:lang w:val="en-US"/>
        </w:rPr>
        <w:t xml:space="preserve"> (inverse temperature) represents the </w:t>
      </w:r>
      <w:proofErr w:type="gramStart"/>
      <w:r w:rsidR="0027086F">
        <w:rPr>
          <w:rFonts w:eastAsia="Calibri"/>
          <w:lang w:val="en-US"/>
        </w:rPr>
        <w:t>subjects’</w:t>
      </w:r>
      <w:proofErr w:type="gramEnd"/>
      <w:r w:rsidR="00A5736C">
        <w:rPr>
          <w:rFonts w:eastAsia="Calibri"/>
          <w:lang w:val="en-US"/>
        </w:rPr>
        <w:t xml:space="preserve"> decision consistency or sensitivity to</w:t>
      </w:r>
      <w:r w:rsidR="006D3295">
        <w:rPr>
          <w:rFonts w:eastAsia="Calibri"/>
          <w:lang w:val="en-US"/>
        </w:rPr>
        <w:t xml:space="preserve"> </w:t>
      </w:r>
      <w:r w:rsidR="00A5736C">
        <w:rPr>
          <w:rFonts w:eastAsia="Calibri"/>
          <w:lang w:val="en-US"/>
        </w:rPr>
        <w:t xml:space="preserve">the value difference. </w:t>
      </w:r>
    </w:p>
    <w:p w14:paraId="0A4B0D78" w14:textId="77777777" w:rsidR="00841B7F" w:rsidRDefault="00841B7F" w:rsidP="00BE273B">
      <w:pPr>
        <w:rPr>
          <w:rFonts w:eastAsia="Calibri"/>
          <w:lang w:val="en-US"/>
        </w:rPr>
      </w:pPr>
    </w:p>
    <w:p w14:paraId="34FCFD78" w14:textId="4A3345FC" w:rsidR="00841B7F" w:rsidRDefault="00841B7F" w:rsidP="00BE273B">
      <w:pPr>
        <w:rPr>
          <w:rFonts w:eastAsia="Calibri"/>
          <w:b/>
          <w:bCs/>
          <w:lang w:val="en-US"/>
        </w:rPr>
      </w:pPr>
      <w:r w:rsidRPr="006D3295">
        <w:rPr>
          <w:rFonts w:eastAsia="Calibri"/>
          <w:b/>
          <w:bCs/>
          <w:lang w:val="en-US"/>
        </w:rPr>
        <w:t xml:space="preserve">2.4.2 Parameter Estimation and Model Selection </w:t>
      </w:r>
    </w:p>
    <w:p w14:paraId="12D629DB" w14:textId="77777777" w:rsidR="006D3295" w:rsidRPr="006D3295" w:rsidRDefault="006D3295" w:rsidP="00BE273B">
      <w:pPr>
        <w:rPr>
          <w:rFonts w:eastAsia="Calibri"/>
          <w:b/>
          <w:bCs/>
          <w:lang w:val="en-US"/>
        </w:rPr>
      </w:pPr>
    </w:p>
    <w:p w14:paraId="61A15DDB" w14:textId="76258A9B" w:rsidR="00210F61" w:rsidRDefault="00841B7F" w:rsidP="00BE273B">
      <w:pPr>
        <w:rPr>
          <w:rFonts w:eastAsia="Calibri"/>
          <w:lang w:val="en-US"/>
        </w:rPr>
      </w:pPr>
      <w:r>
        <w:rPr>
          <w:rFonts w:eastAsia="Calibri"/>
          <w:lang w:val="en-US"/>
        </w:rPr>
        <w:t xml:space="preserve">To ensure the recovery of global </w:t>
      </w:r>
      <w:r w:rsidR="005D6411">
        <w:rPr>
          <w:rFonts w:eastAsia="Calibri"/>
          <w:lang w:val="en-US"/>
        </w:rPr>
        <w:t>optimum and avoid local minima, parameters (</w:t>
      </w:r>
      <m:oMath>
        <m:r>
          <w:rPr>
            <w:rFonts w:ascii="Cambria Math" w:eastAsia="Calibri" w:hAnsi="Cambria Math"/>
            <w:lang w:val="en-US"/>
          </w:rPr>
          <m:t>α</m:t>
        </m:r>
      </m:oMath>
      <w:r w:rsidR="005D6411">
        <w:rPr>
          <w:rFonts w:eastAsia="Calibri"/>
          <w:lang w:val="en-US"/>
        </w:rPr>
        <w:t xml:space="preserve"> and </w:t>
      </w:r>
      <m:oMath>
        <m:r>
          <w:rPr>
            <w:rFonts w:ascii="Cambria Math" w:eastAsia="Calibri" w:hAnsi="Cambria Math"/>
            <w:lang w:val="en-US"/>
          </w:rPr>
          <m:t>τ</m:t>
        </m:r>
      </m:oMath>
      <w:r w:rsidR="005D6411">
        <w:rPr>
          <w:rFonts w:eastAsia="Calibri"/>
          <w:lang w:val="en-US"/>
        </w:rPr>
        <w:t xml:space="preserve">) were estimated using a brute-force grid search on 100 x 100 </w:t>
      </w:r>
      <w:r w:rsidR="000A7586">
        <w:rPr>
          <w:rFonts w:eastAsia="Calibri"/>
          <w:lang w:val="en-US"/>
        </w:rPr>
        <w:t>grid (</w:t>
      </w:r>
      <m:oMath>
        <m:r>
          <w:rPr>
            <w:rFonts w:ascii="Cambria Math" w:eastAsia="Calibri" w:hAnsi="Cambria Math"/>
            <w:lang w:val="en-US"/>
          </w:rPr>
          <m:t>α</m:t>
        </m:r>
      </m:oMath>
      <w:r w:rsidR="005D6411">
        <w:rPr>
          <w:rFonts w:eastAsia="Calibri"/>
          <w:lang w:val="en-US"/>
        </w:rPr>
        <w:t xml:space="preserve"> </w:t>
      </w:r>
      <m:oMath>
        <m:r>
          <w:rPr>
            <w:rFonts w:ascii="Cambria Math" w:eastAsia="Calibri" w:hAnsi="Cambria Math"/>
            <w:lang w:val="en-US"/>
          </w:rPr>
          <m:t>∈</m:t>
        </m:r>
      </m:oMath>
      <w:r w:rsidR="001B2F5F">
        <w:rPr>
          <w:rFonts w:eastAsia="Calibri"/>
          <w:lang w:val="en-US"/>
        </w:rPr>
        <w:t xml:space="preserve"> </w:t>
      </w:r>
      <w:r w:rsidR="00315762">
        <w:rPr>
          <w:rFonts w:eastAsia="Calibri"/>
          <w:lang w:val="en-US"/>
        </w:rPr>
        <w:t xml:space="preserve">[0.001, 1], </w:t>
      </w:r>
      <m:oMath>
        <m:r>
          <w:rPr>
            <w:rFonts w:ascii="Cambria Math" w:eastAsia="Calibri" w:hAnsi="Cambria Math"/>
            <w:lang w:val="en-US"/>
          </w:rPr>
          <m:t>τ</m:t>
        </m:r>
        <m:r>
          <w:rPr>
            <w:rFonts w:ascii="Cambria Math" w:eastAsia="Calibri" w:hAnsi="Cambria Math"/>
            <w:lang w:val="en-US"/>
          </w:rPr>
          <m:t xml:space="preserve"> </m:t>
        </m:r>
        <m:r>
          <w:rPr>
            <w:rFonts w:ascii="Cambria Math" w:eastAsia="Calibri" w:hAnsi="Cambria Math"/>
            <w:lang w:val="en-US"/>
          </w:rPr>
          <m:t>∈</m:t>
        </m:r>
      </m:oMath>
      <w:r w:rsidR="00315762">
        <w:rPr>
          <w:rFonts w:eastAsia="Calibri"/>
          <w:lang w:val="en-US"/>
        </w:rPr>
        <w:t xml:space="preserve"> [0.01, 5]). </w:t>
      </w:r>
      <w:r w:rsidR="0003582B">
        <w:rPr>
          <w:rFonts w:eastAsia="Calibri"/>
          <w:lang w:val="en-US"/>
        </w:rPr>
        <w:t>The model was fitted by minimizing negative log-likelihood (NLL) of the observed choices for each participan</w:t>
      </w:r>
      <w:r w:rsidR="00210F61">
        <w:rPr>
          <w:rFonts w:eastAsia="Calibri"/>
          <w:lang w:val="en-US"/>
        </w:rPr>
        <w:t xml:space="preserve">t. </w:t>
      </w:r>
    </w:p>
    <w:p w14:paraId="72A62E3A" w14:textId="77777777" w:rsidR="00210F61" w:rsidRDefault="00210F61" w:rsidP="00BE273B">
      <w:pPr>
        <w:rPr>
          <w:rFonts w:eastAsia="Calibri"/>
          <w:lang w:val="en-US"/>
        </w:rPr>
      </w:pPr>
    </w:p>
    <w:p w14:paraId="54D054F4" w14:textId="6A2465FB" w:rsidR="008C770A" w:rsidRDefault="00210F61" w:rsidP="00BE273B">
      <w:pPr>
        <w:rPr>
          <w:rFonts w:eastAsia="Calibri"/>
          <w:lang w:val="en-US"/>
        </w:rPr>
      </w:pPr>
      <w:r>
        <w:rPr>
          <w:rFonts w:eastAsia="Calibri"/>
          <w:lang w:val="en-US"/>
        </w:rPr>
        <w:t>Crucially, we compared the fixed-</w:t>
      </w:r>
      <m:oMath>
        <m:r>
          <w:rPr>
            <w:rFonts w:ascii="Cambria Math" w:eastAsia="Calibri" w:hAnsi="Cambria Math"/>
            <w:lang w:val="en-US"/>
          </w:rPr>
          <m:t>α</m:t>
        </m:r>
      </m:oMath>
      <w:r w:rsidR="00BE4DE3">
        <w:rPr>
          <w:rFonts w:eastAsia="Calibri"/>
          <w:lang w:val="en-US"/>
        </w:rPr>
        <w:t xml:space="preserve"> model against a more complex evolving learning rate model, which updates </w:t>
      </w:r>
      <m:oMath>
        <m:r>
          <w:rPr>
            <w:rFonts w:ascii="Cambria Math" w:eastAsia="Calibri" w:hAnsi="Cambria Math"/>
            <w:lang w:val="en-US"/>
          </w:rPr>
          <m:t>α</m:t>
        </m:r>
      </m:oMath>
      <w:r w:rsidR="00BE4DE3">
        <w:rPr>
          <w:rFonts w:eastAsia="Calibri"/>
          <w:lang w:val="en-US"/>
        </w:rPr>
        <w:t xml:space="preserve"> based on social feedback. </w:t>
      </w:r>
      <w:r w:rsidR="00C24CA7">
        <w:rPr>
          <w:rFonts w:eastAsia="Calibri"/>
          <w:lang w:val="en-US"/>
        </w:rPr>
        <w:t>Models are compared using Bayesian Information Criterion (BIC) and Watanabe-Akaike Information Criterion (WAIC)</w:t>
      </w:r>
      <w:r w:rsidR="001417A3">
        <w:rPr>
          <w:rFonts w:eastAsia="Calibri"/>
          <w:lang w:val="en-US"/>
        </w:rPr>
        <w:t xml:space="preserve"> for model selection.</w:t>
      </w:r>
    </w:p>
    <w:p w14:paraId="044EBFA0" w14:textId="77777777" w:rsidR="0080549D" w:rsidRDefault="0080549D" w:rsidP="00BE273B">
      <w:pPr>
        <w:rPr>
          <w:rFonts w:eastAsia="Calibri"/>
          <w:lang w:val="en-US"/>
        </w:rPr>
      </w:pPr>
    </w:p>
    <w:p w14:paraId="18AFDF20" w14:textId="0BBBF23F" w:rsidR="0080549D" w:rsidRDefault="0080549D" w:rsidP="0080549D">
      <w:pPr>
        <w:rPr>
          <w:b/>
          <w:bCs/>
          <w:lang w:val="en-US"/>
        </w:rPr>
      </w:pPr>
      <w:r>
        <w:rPr>
          <w:b/>
          <w:bCs/>
          <w:lang w:val="en-US"/>
        </w:rPr>
        <w:t>2.4.</w:t>
      </w:r>
      <w:r>
        <w:rPr>
          <w:b/>
          <w:bCs/>
          <w:lang w:val="en-US"/>
        </w:rPr>
        <w:t>3</w:t>
      </w:r>
      <w:r>
        <w:rPr>
          <w:b/>
          <w:bCs/>
          <w:lang w:val="en-US"/>
        </w:rPr>
        <w:t xml:space="preserve"> Control Analysis </w:t>
      </w:r>
    </w:p>
    <w:p w14:paraId="2E0F8BFE" w14:textId="77777777" w:rsidR="0080549D" w:rsidRDefault="0080549D" w:rsidP="0080549D">
      <w:pPr>
        <w:rPr>
          <w:lang w:val="en-US"/>
        </w:rPr>
      </w:pPr>
    </w:p>
    <w:p w14:paraId="257A600C" w14:textId="77777777" w:rsidR="0080549D" w:rsidRDefault="0080549D" w:rsidP="0080549D">
      <w:pPr>
        <w:rPr>
          <w:lang w:val="en-US"/>
        </w:rPr>
      </w:pPr>
    </w:p>
    <w:p w14:paraId="62C37EDB" w14:textId="77777777" w:rsidR="0080549D" w:rsidRDefault="0080549D" w:rsidP="0080549D">
      <w:pPr>
        <w:rPr>
          <w:lang w:val="en-US"/>
        </w:rPr>
      </w:pPr>
      <w:r>
        <w:rPr>
          <w:lang w:val="en-US"/>
        </w:rPr>
        <w:t>To assess the robustness and identifiability of our computational framework, a parameter recovery analysis was conducted. This control analysis aims to ensure that the 100x100 brute-force grid search optimization procedure can accurately estimate subject-specific parameters from behavioral data, ruling out potential estimation biases or local minima issues.</w:t>
      </w:r>
    </w:p>
    <w:p w14:paraId="00E670E1" w14:textId="77777777" w:rsidR="0080549D" w:rsidRDefault="0080549D" w:rsidP="0080549D">
      <w:pPr>
        <w:rPr>
          <w:lang w:val="en-US"/>
        </w:rPr>
      </w:pPr>
    </w:p>
    <w:p w14:paraId="238508A2" w14:textId="77777777" w:rsidR="0080549D" w:rsidRDefault="0080549D" w:rsidP="0080549D">
      <w:pPr>
        <w:rPr>
          <w:lang w:val="en-US"/>
        </w:rPr>
      </w:pPr>
      <w:r>
        <w:rPr>
          <w:lang w:val="en-US"/>
        </w:rPr>
        <w:t xml:space="preserve">We generated synthetic choice data for virtual agents by systematically sampling “ground truth” parameters across the feasible parameters space. Learning rates were set at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true</m:t>
            </m:r>
          </m:sub>
        </m:sSub>
        <m:r>
          <w:rPr>
            <w:rFonts w:ascii="Cambria Math" w:hAnsi="Cambria Math"/>
            <w:lang w:val="en-US"/>
          </w:rPr>
          <m:t xml:space="preserve"> ∈</m:t>
        </m:r>
        <m:r>
          <w:rPr>
            <w:rFonts w:ascii="Cambria Math" w:hAnsi="Cambria Math"/>
            <w:lang w:val="en-US"/>
          </w:rPr>
          <w:lastRenderedPageBreak/>
          <m:t>{0.1, 0.3, 0.5, 0.7, 0.9}</m:t>
        </m:r>
      </m:oMath>
      <w:r>
        <w:rPr>
          <w:lang w:val="en-US"/>
        </w:rPr>
        <w:t xml:space="preserve"> and inverse temperatures at </w:t>
      </w:r>
      <m:oMath>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true</m:t>
            </m:r>
          </m:sub>
        </m:sSub>
        <m:r>
          <w:rPr>
            <w:rFonts w:ascii="Cambria Math" w:hAnsi="Cambria Math"/>
            <w:lang w:val="en-US"/>
          </w:rPr>
          <m:t xml:space="preserve"> ∈  {0.5, 1.5, 3.0}</m:t>
        </m:r>
      </m:oMath>
      <w:r>
        <w:rPr>
          <w:lang w:val="en-US"/>
        </w:rPr>
        <w:t xml:space="preserve">. For each parameter combination, 30 independent task simulations were performed (each consisting of 60 trials, matching the experimental task structure), resulting in a total of 450 synthetic datasets. </w:t>
      </w:r>
    </w:p>
    <w:p w14:paraId="6C2D15F2" w14:textId="77777777" w:rsidR="0080549D" w:rsidRDefault="0080549D" w:rsidP="00BE273B">
      <w:pPr>
        <w:rPr>
          <w:rFonts w:eastAsia="Calibri"/>
          <w:lang w:val="en-US"/>
        </w:rPr>
      </w:pPr>
    </w:p>
    <w:p w14:paraId="62FA5B24" w14:textId="42294C65" w:rsidR="008C770A" w:rsidRPr="002F0FE7" w:rsidRDefault="0080549D" w:rsidP="00BE273B">
      <w:pPr>
        <w:rPr>
          <w:rFonts w:eastAsia="Calibri"/>
          <w:b/>
          <w:bCs/>
          <w:lang w:val="en-US"/>
        </w:rPr>
      </w:pPr>
      <w:r w:rsidRPr="002F0FE7">
        <w:rPr>
          <w:rFonts w:eastAsia="Calibri"/>
          <w:b/>
          <w:bCs/>
          <w:lang w:val="en-US"/>
        </w:rPr>
        <w:t xml:space="preserve">2.4.4 Posterior Predictive Checks and Model Fit </w:t>
      </w:r>
    </w:p>
    <w:p w14:paraId="45CB311F" w14:textId="77777777" w:rsidR="0080549D" w:rsidRDefault="0080549D" w:rsidP="00BE273B">
      <w:pPr>
        <w:rPr>
          <w:rFonts w:eastAsia="Calibri"/>
          <w:lang w:val="en-US"/>
        </w:rPr>
      </w:pPr>
    </w:p>
    <w:p w14:paraId="696682D2" w14:textId="77777777" w:rsidR="0080549D" w:rsidRDefault="0080549D" w:rsidP="00BE273B">
      <w:pPr>
        <w:rPr>
          <w:rFonts w:eastAsia="Calibri"/>
          <w:lang w:val="en-US"/>
        </w:rPr>
      </w:pPr>
    </w:p>
    <w:p w14:paraId="56BFF069" w14:textId="09FC0552" w:rsidR="0023208F" w:rsidRPr="001417A3" w:rsidRDefault="008C770A" w:rsidP="00BE273B">
      <w:pPr>
        <w:rPr>
          <w:rFonts w:eastAsia="Calibri"/>
          <w:b/>
          <w:bCs/>
          <w:lang w:val="en-US"/>
        </w:rPr>
      </w:pPr>
      <w:r w:rsidRPr="001417A3">
        <w:rPr>
          <w:rFonts w:eastAsia="Calibri"/>
          <w:b/>
          <w:bCs/>
          <w:lang w:val="en-US"/>
        </w:rPr>
        <w:t>2</w:t>
      </w:r>
      <w:r w:rsidR="004F56E1" w:rsidRPr="001417A3">
        <w:rPr>
          <w:rFonts w:eastAsia="Calibri"/>
          <w:b/>
          <w:bCs/>
          <w:lang w:val="en-US"/>
        </w:rPr>
        <w:t>.4.</w:t>
      </w:r>
      <w:r w:rsidR="0080549D">
        <w:rPr>
          <w:rFonts w:eastAsia="Calibri"/>
          <w:b/>
          <w:bCs/>
          <w:lang w:val="en-US"/>
        </w:rPr>
        <w:t>5</w:t>
      </w:r>
      <w:r w:rsidR="004F56E1" w:rsidRPr="001417A3">
        <w:rPr>
          <w:rFonts w:eastAsia="Calibri"/>
          <w:b/>
          <w:bCs/>
          <w:lang w:val="en-US"/>
        </w:rPr>
        <w:t xml:space="preserve"> Statistical Anal</w:t>
      </w:r>
      <w:r w:rsidR="0023208F" w:rsidRPr="001417A3">
        <w:rPr>
          <w:rFonts w:eastAsia="Calibri"/>
          <w:b/>
          <w:bCs/>
          <w:lang w:val="en-US"/>
        </w:rPr>
        <w:t xml:space="preserve">ysis </w:t>
      </w:r>
    </w:p>
    <w:p w14:paraId="0D5EBB41" w14:textId="77777777" w:rsidR="001417A3" w:rsidRDefault="001417A3" w:rsidP="00BE273B">
      <w:pPr>
        <w:rPr>
          <w:rFonts w:eastAsia="Calibri"/>
          <w:lang w:val="en-US"/>
        </w:rPr>
      </w:pPr>
    </w:p>
    <w:p w14:paraId="1A29792B" w14:textId="51B2F275" w:rsidR="00841B7F" w:rsidRPr="003A74AE" w:rsidRDefault="0023208F" w:rsidP="00BE273B">
      <w:pPr>
        <w:rPr>
          <w:rFonts w:eastAsia="Calibri"/>
          <w:lang w:val="en-US"/>
        </w:rPr>
      </w:pPr>
      <w:r>
        <w:rPr>
          <w:rFonts w:eastAsia="Calibri"/>
          <w:lang w:val="en-US"/>
        </w:rPr>
        <w:t>Model fit</w:t>
      </w:r>
      <w:r w:rsidR="00885E10">
        <w:rPr>
          <w:rFonts w:eastAsia="Calibri"/>
          <w:lang w:val="en-US"/>
        </w:rPr>
        <w:t xml:space="preserve"> was evaluated using Pseudo-R</w:t>
      </w:r>
      <w:r w:rsidR="00BA211A" w:rsidRPr="00BA211A">
        <w:rPr>
          <w:rFonts w:eastAsia="Calibri"/>
          <w:vertAlign w:val="superscript"/>
          <w:lang w:val="en-US"/>
        </w:rPr>
        <w:t>2</w:t>
      </w:r>
      <w:r w:rsidR="00885E10">
        <w:rPr>
          <w:rFonts w:eastAsia="Calibri"/>
          <w:lang w:val="en-US"/>
        </w:rPr>
        <w:t xml:space="preserve">, </w:t>
      </w:r>
      <w:r w:rsidR="000125B0">
        <w:rPr>
          <w:rFonts w:eastAsia="Calibri"/>
          <w:lang w:val="en-US"/>
        </w:rPr>
        <w:t xml:space="preserve">calculated as </w:t>
      </w:r>
      <m:oMath>
        <m:r>
          <w:rPr>
            <w:rFonts w:ascii="Cambria Math" w:eastAsia="Calibri" w:hAnsi="Cambria Math"/>
            <w:lang w:val="en-US"/>
          </w:rPr>
          <m:t>1 - (NL</m:t>
        </m:r>
        <m:sSub>
          <m:sSubPr>
            <m:ctrlPr>
              <w:rPr>
                <w:rFonts w:ascii="Cambria Math" w:eastAsia="Calibri" w:hAnsi="Cambria Math"/>
                <w:i/>
                <w:lang w:val="en-US"/>
              </w:rPr>
            </m:ctrlPr>
          </m:sSubPr>
          <m:e>
            <m:r>
              <w:rPr>
                <w:rFonts w:ascii="Cambria Math" w:eastAsia="Calibri" w:hAnsi="Cambria Math"/>
                <w:lang w:val="en-US"/>
              </w:rPr>
              <m:t>L</m:t>
            </m:r>
          </m:e>
          <m:sub>
            <m:r>
              <w:rPr>
                <w:rFonts w:ascii="Cambria Math" w:eastAsia="Calibri" w:hAnsi="Cambria Math"/>
                <w:lang w:val="en-US"/>
              </w:rPr>
              <m:t>model</m:t>
            </m:r>
          </m:sub>
        </m:sSub>
        <m:r>
          <w:rPr>
            <w:rFonts w:ascii="Cambria Math" w:eastAsia="Calibri" w:hAnsi="Cambria Math"/>
            <w:lang w:val="en-US"/>
          </w:rPr>
          <m:t>/NL</m:t>
        </m:r>
        <m:sSub>
          <m:sSubPr>
            <m:ctrlPr>
              <w:rPr>
                <w:rFonts w:ascii="Cambria Math" w:eastAsia="Calibri" w:hAnsi="Cambria Math"/>
                <w:i/>
                <w:lang w:val="en-US"/>
              </w:rPr>
            </m:ctrlPr>
          </m:sSubPr>
          <m:e>
            <m:r>
              <w:rPr>
                <w:rFonts w:ascii="Cambria Math" w:eastAsia="Calibri" w:hAnsi="Cambria Math"/>
                <w:lang w:val="en-US"/>
              </w:rPr>
              <m:t>L</m:t>
            </m:r>
          </m:e>
          <m:sub>
            <m:r>
              <w:rPr>
                <w:rFonts w:ascii="Cambria Math" w:eastAsia="Calibri" w:hAnsi="Cambria Math"/>
                <w:lang w:val="en-US"/>
              </w:rPr>
              <m:t>null</m:t>
            </m:r>
          </m:sub>
        </m:sSub>
        <m:r>
          <w:rPr>
            <w:rFonts w:ascii="Cambria Math" w:eastAsia="Calibri" w:hAnsi="Cambria Math"/>
            <w:lang w:val="en-US"/>
          </w:rPr>
          <m:t>)</m:t>
        </m:r>
      </m:oMath>
      <w:r w:rsidR="000125B0">
        <w:rPr>
          <w:rFonts w:eastAsia="Calibri"/>
          <w:lang w:val="en-US"/>
        </w:rPr>
        <w:t>, where the null model assumes a random choice (p=0.5)</w:t>
      </w:r>
      <w:r w:rsidR="00F97C5C">
        <w:rPr>
          <w:rFonts w:eastAsia="Calibri"/>
          <w:lang w:val="en-US"/>
        </w:rPr>
        <w:t xml:space="preserve">. Group differences in </w:t>
      </w:r>
      <m:oMath>
        <m:r>
          <w:rPr>
            <w:rFonts w:ascii="Cambria Math" w:eastAsia="Calibri" w:hAnsi="Cambria Math"/>
            <w:lang w:val="en-US"/>
          </w:rPr>
          <m:t>α</m:t>
        </m:r>
      </m:oMath>
      <w:r w:rsidR="00F97C5C">
        <w:rPr>
          <w:rFonts w:eastAsia="Calibri"/>
          <w:lang w:val="en-US"/>
        </w:rPr>
        <w:t xml:space="preserve">, </w:t>
      </w:r>
      <m:oMath>
        <m:r>
          <w:rPr>
            <w:rFonts w:ascii="Cambria Math" w:eastAsia="Calibri" w:hAnsi="Cambria Math"/>
            <w:lang w:val="en-US"/>
          </w:rPr>
          <m:t>τ</m:t>
        </m:r>
      </m:oMath>
      <w:r w:rsidR="00F97C5C">
        <w:rPr>
          <w:rFonts w:eastAsia="Calibri"/>
          <w:lang w:val="en-US"/>
        </w:rPr>
        <w:t>, Pseudo-R</w:t>
      </w:r>
      <w:r w:rsidR="0057150A" w:rsidRPr="0057150A">
        <w:rPr>
          <w:rFonts w:eastAsia="Calibri"/>
          <w:vertAlign w:val="superscript"/>
          <w:lang w:val="en-US"/>
        </w:rPr>
        <w:t>2</w:t>
      </w:r>
      <w:r w:rsidR="00F97C5C">
        <w:rPr>
          <w:rFonts w:eastAsia="Calibri"/>
          <w:lang w:val="en-US"/>
        </w:rPr>
        <w:t xml:space="preserve"> were assessed using </w:t>
      </w:r>
      <w:r w:rsidR="00F33DA7">
        <w:rPr>
          <w:rFonts w:eastAsia="Calibri"/>
          <w:lang w:val="en-US"/>
        </w:rPr>
        <w:t xml:space="preserve">non-parametric permutation tests (10.000 samples) on medians to account for </w:t>
      </w:r>
      <w:r w:rsidR="00A05CB6">
        <w:rPr>
          <w:rFonts w:eastAsia="Calibri"/>
          <w:lang w:val="en-US"/>
        </w:rPr>
        <w:t>the non-normal distribution of the estimated parameters.</w:t>
      </w:r>
      <w:r w:rsidR="00E862DB">
        <w:rPr>
          <w:rFonts w:eastAsia="Calibri"/>
          <w:lang w:val="en-US"/>
        </w:rPr>
        <w:t xml:space="preserve"> </w:t>
      </w:r>
      <w:r>
        <w:rPr>
          <w:rFonts w:eastAsia="Calibri"/>
          <w:lang w:val="en-US"/>
        </w:rPr>
        <w:t xml:space="preserve"> </w:t>
      </w:r>
      <w:r w:rsidR="0003582B">
        <w:rPr>
          <w:rFonts w:eastAsia="Calibri"/>
          <w:lang w:val="en-US"/>
        </w:rPr>
        <w:t xml:space="preserve"> </w:t>
      </w:r>
    </w:p>
    <w:p w14:paraId="6A0E381B" w14:textId="77777777" w:rsidR="008D27A3" w:rsidRDefault="008D27A3" w:rsidP="00BE273B">
      <w:pPr>
        <w:rPr>
          <w:b/>
          <w:bCs/>
          <w:lang w:val="en-US"/>
        </w:rPr>
      </w:pPr>
    </w:p>
    <w:p w14:paraId="7813F8BF" w14:textId="77777777" w:rsidR="00DE5198" w:rsidRDefault="00DE5198" w:rsidP="00BE273B">
      <w:pPr>
        <w:rPr>
          <w:lang w:val="en-US"/>
        </w:rPr>
      </w:pPr>
    </w:p>
    <w:p w14:paraId="109F5411" w14:textId="0C3E9843" w:rsidR="00BE273B" w:rsidRPr="00D50240" w:rsidRDefault="00BE273B">
      <w:pPr>
        <w:rPr>
          <w:lang w:val="en-US"/>
        </w:rPr>
      </w:pPr>
    </w:p>
    <w:sectPr w:rsidR="00BE273B" w:rsidRPr="00D50240" w:rsidSect="00A20F2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2E8"/>
    <w:rsid w:val="000125B0"/>
    <w:rsid w:val="0003582B"/>
    <w:rsid w:val="000A7586"/>
    <w:rsid w:val="000B0BB1"/>
    <w:rsid w:val="000D2339"/>
    <w:rsid w:val="000D76FE"/>
    <w:rsid w:val="000F2878"/>
    <w:rsid w:val="00121F92"/>
    <w:rsid w:val="001417A3"/>
    <w:rsid w:val="001B2F5F"/>
    <w:rsid w:val="0021047B"/>
    <w:rsid w:val="00210F61"/>
    <w:rsid w:val="0023208F"/>
    <w:rsid w:val="0027086F"/>
    <w:rsid w:val="002910F2"/>
    <w:rsid w:val="002C51CF"/>
    <w:rsid w:val="002D04F7"/>
    <w:rsid w:val="002E2FCD"/>
    <w:rsid w:val="002F0FE7"/>
    <w:rsid w:val="00313F44"/>
    <w:rsid w:val="00315762"/>
    <w:rsid w:val="00380480"/>
    <w:rsid w:val="003A74AE"/>
    <w:rsid w:val="003B2ECB"/>
    <w:rsid w:val="00457D16"/>
    <w:rsid w:val="004F56E1"/>
    <w:rsid w:val="0057150A"/>
    <w:rsid w:val="005776AD"/>
    <w:rsid w:val="005B43AB"/>
    <w:rsid w:val="005D6411"/>
    <w:rsid w:val="00696802"/>
    <w:rsid w:val="006D3295"/>
    <w:rsid w:val="006F6CCA"/>
    <w:rsid w:val="00720856"/>
    <w:rsid w:val="00730C85"/>
    <w:rsid w:val="00733E4C"/>
    <w:rsid w:val="00760A98"/>
    <w:rsid w:val="0080549D"/>
    <w:rsid w:val="00806EC3"/>
    <w:rsid w:val="00841B7F"/>
    <w:rsid w:val="00876D82"/>
    <w:rsid w:val="00885E10"/>
    <w:rsid w:val="008C770A"/>
    <w:rsid w:val="008D27A3"/>
    <w:rsid w:val="00925C81"/>
    <w:rsid w:val="00934AD0"/>
    <w:rsid w:val="009A4B76"/>
    <w:rsid w:val="009A5CEC"/>
    <w:rsid w:val="00A05CB6"/>
    <w:rsid w:val="00A20F2D"/>
    <w:rsid w:val="00A5736C"/>
    <w:rsid w:val="00A74C0F"/>
    <w:rsid w:val="00AF3EBC"/>
    <w:rsid w:val="00B32E06"/>
    <w:rsid w:val="00BA211A"/>
    <w:rsid w:val="00BE273B"/>
    <w:rsid w:val="00BE4DE3"/>
    <w:rsid w:val="00C24CA7"/>
    <w:rsid w:val="00CF13DA"/>
    <w:rsid w:val="00D339A4"/>
    <w:rsid w:val="00D50240"/>
    <w:rsid w:val="00D62CAF"/>
    <w:rsid w:val="00D8199B"/>
    <w:rsid w:val="00D90A9C"/>
    <w:rsid w:val="00DC013A"/>
    <w:rsid w:val="00DC4D8A"/>
    <w:rsid w:val="00DE5198"/>
    <w:rsid w:val="00DF5746"/>
    <w:rsid w:val="00E16B9D"/>
    <w:rsid w:val="00E27AD8"/>
    <w:rsid w:val="00E51E06"/>
    <w:rsid w:val="00E8417B"/>
    <w:rsid w:val="00E855D8"/>
    <w:rsid w:val="00E862DB"/>
    <w:rsid w:val="00ED72E8"/>
    <w:rsid w:val="00F33DA7"/>
    <w:rsid w:val="00F867C2"/>
    <w:rsid w:val="00F97C5C"/>
    <w:rsid w:val="00FA483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4ADAB"/>
  <w15:chartTrackingRefBased/>
  <w15:docId w15:val="{D9982CFF-3312-4431-940E-FC64DCB6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32"/>
    <w:pPr>
      <w:spacing w:after="0" w:line="276" w:lineRule="auto"/>
    </w:pPr>
    <w:rPr>
      <w:rFonts w:ascii="Arial" w:eastAsia="Arial" w:hAnsi="Arial" w:cs="Arial"/>
      <w:sz w:val="22"/>
      <w:szCs w:val="22"/>
      <w:lang w:val="tr"/>
      <w14:ligatures w14:val="none"/>
    </w:rPr>
  </w:style>
  <w:style w:type="paragraph" w:styleId="Heading1">
    <w:name w:val="heading 1"/>
    <w:basedOn w:val="Normal"/>
    <w:next w:val="Normal"/>
    <w:link w:val="Heading1Char"/>
    <w:uiPriority w:val="9"/>
    <w:qFormat/>
    <w:rsid w:val="00ED72E8"/>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val="en-US"/>
      <w14:ligatures w14:val="standardContextual"/>
    </w:rPr>
  </w:style>
  <w:style w:type="paragraph" w:styleId="Heading2">
    <w:name w:val="heading 2"/>
    <w:basedOn w:val="Normal"/>
    <w:next w:val="Normal"/>
    <w:link w:val="Heading2Char"/>
    <w:uiPriority w:val="9"/>
    <w:semiHidden/>
    <w:unhideWhenUsed/>
    <w:qFormat/>
    <w:rsid w:val="00ED72E8"/>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val="en-US"/>
      <w14:ligatures w14:val="standardContextual"/>
    </w:rPr>
  </w:style>
  <w:style w:type="paragraph" w:styleId="Heading3">
    <w:name w:val="heading 3"/>
    <w:basedOn w:val="Normal"/>
    <w:next w:val="Normal"/>
    <w:link w:val="Heading3Char"/>
    <w:uiPriority w:val="9"/>
    <w:semiHidden/>
    <w:unhideWhenUsed/>
    <w:qFormat/>
    <w:rsid w:val="00ED72E8"/>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lang w:val="en-US"/>
      <w14:ligatures w14:val="standardContextual"/>
    </w:rPr>
  </w:style>
  <w:style w:type="paragraph" w:styleId="Heading4">
    <w:name w:val="heading 4"/>
    <w:basedOn w:val="Normal"/>
    <w:next w:val="Normal"/>
    <w:link w:val="Heading4Char"/>
    <w:uiPriority w:val="9"/>
    <w:semiHidden/>
    <w:unhideWhenUsed/>
    <w:qFormat/>
    <w:rsid w:val="00ED72E8"/>
    <w:pPr>
      <w:keepNext/>
      <w:keepLines/>
      <w:spacing w:before="80" w:after="40" w:line="278" w:lineRule="auto"/>
      <w:outlineLvl w:val="3"/>
    </w:pPr>
    <w:rPr>
      <w:rFonts w:asciiTheme="minorHAnsi" w:eastAsiaTheme="majorEastAsia" w:hAnsiTheme="minorHAnsi" w:cstheme="majorBidi"/>
      <w:i/>
      <w:iCs/>
      <w:color w:val="2F5496" w:themeColor="accent1" w:themeShade="BF"/>
      <w:sz w:val="24"/>
      <w:szCs w:val="24"/>
      <w:lang w:val="en-US"/>
      <w14:ligatures w14:val="standardContextual"/>
    </w:rPr>
  </w:style>
  <w:style w:type="paragraph" w:styleId="Heading5">
    <w:name w:val="heading 5"/>
    <w:basedOn w:val="Normal"/>
    <w:next w:val="Normal"/>
    <w:link w:val="Heading5Char"/>
    <w:uiPriority w:val="9"/>
    <w:semiHidden/>
    <w:unhideWhenUsed/>
    <w:qFormat/>
    <w:rsid w:val="00ED72E8"/>
    <w:pPr>
      <w:keepNext/>
      <w:keepLines/>
      <w:spacing w:before="80" w:after="40" w:line="278" w:lineRule="auto"/>
      <w:outlineLvl w:val="4"/>
    </w:pPr>
    <w:rPr>
      <w:rFonts w:asciiTheme="minorHAnsi" w:eastAsiaTheme="majorEastAsia" w:hAnsiTheme="minorHAnsi" w:cstheme="majorBidi"/>
      <w:color w:val="2F5496" w:themeColor="accent1" w:themeShade="BF"/>
      <w:sz w:val="24"/>
      <w:szCs w:val="24"/>
      <w:lang w:val="en-US"/>
      <w14:ligatures w14:val="standardContextual"/>
    </w:rPr>
  </w:style>
  <w:style w:type="paragraph" w:styleId="Heading6">
    <w:name w:val="heading 6"/>
    <w:basedOn w:val="Normal"/>
    <w:next w:val="Normal"/>
    <w:link w:val="Heading6Char"/>
    <w:uiPriority w:val="9"/>
    <w:semiHidden/>
    <w:unhideWhenUsed/>
    <w:qFormat/>
    <w:rsid w:val="00ED72E8"/>
    <w:pPr>
      <w:keepNext/>
      <w:keepLines/>
      <w:spacing w:before="40" w:line="278" w:lineRule="auto"/>
      <w:outlineLvl w:val="5"/>
    </w:pPr>
    <w:rPr>
      <w:rFonts w:asciiTheme="minorHAnsi" w:eastAsiaTheme="majorEastAsia" w:hAnsiTheme="minorHAnsi" w:cstheme="majorBidi"/>
      <w:i/>
      <w:iCs/>
      <w:color w:val="595959" w:themeColor="text1" w:themeTint="A6"/>
      <w:sz w:val="24"/>
      <w:szCs w:val="24"/>
      <w:lang w:val="en-US"/>
      <w14:ligatures w14:val="standardContextual"/>
    </w:rPr>
  </w:style>
  <w:style w:type="paragraph" w:styleId="Heading7">
    <w:name w:val="heading 7"/>
    <w:basedOn w:val="Normal"/>
    <w:next w:val="Normal"/>
    <w:link w:val="Heading7Char"/>
    <w:uiPriority w:val="9"/>
    <w:semiHidden/>
    <w:unhideWhenUsed/>
    <w:qFormat/>
    <w:rsid w:val="00ED72E8"/>
    <w:pPr>
      <w:keepNext/>
      <w:keepLines/>
      <w:spacing w:before="40" w:line="278" w:lineRule="auto"/>
      <w:outlineLvl w:val="6"/>
    </w:pPr>
    <w:rPr>
      <w:rFonts w:asciiTheme="minorHAnsi" w:eastAsiaTheme="majorEastAsia" w:hAnsiTheme="minorHAnsi" w:cstheme="majorBidi"/>
      <w:color w:val="595959" w:themeColor="text1" w:themeTint="A6"/>
      <w:sz w:val="24"/>
      <w:szCs w:val="24"/>
      <w:lang w:val="en-US"/>
      <w14:ligatures w14:val="standardContextual"/>
    </w:rPr>
  </w:style>
  <w:style w:type="paragraph" w:styleId="Heading8">
    <w:name w:val="heading 8"/>
    <w:basedOn w:val="Normal"/>
    <w:next w:val="Normal"/>
    <w:link w:val="Heading8Char"/>
    <w:uiPriority w:val="9"/>
    <w:semiHidden/>
    <w:unhideWhenUsed/>
    <w:qFormat/>
    <w:rsid w:val="00ED72E8"/>
    <w:pPr>
      <w:keepNext/>
      <w:keepLines/>
      <w:spacing w:line="278" w:lineRule="auto"/>
      <w:outlineLvl w:val="7"/>
    </w:pPr>
    <w:rPr>
      <w:rFonts w:asciiTheme="minorHAnsi" w:eastAsiaTheme="majorEastAsia" w:hAnsiTheme="minorHAnsi" w:cstheme="majorBidi"/>
      <w:i/>
      <w:iCs/>
      <w:color w:val="272727" w:themeColor="text1" w:themeTint="D8"/>
      <w:sz w:val="24"/>
      <w:szCs w:val="24"/>
      <w:lang w:val="en-US"/>
      <w14:ligatures w14:val="standardContextual"/>
    </w:rPr>
  </w:style>
  <w:style w:type="paragraph" w:styleId="Heading9">
    <w:name w:val="heading 9"/>
    <w:basedOn w:val="Normal"/>
    <w:next w:val="Normal"/>
    <w:link w:val="Heading9Char"/>
    <w:uiPriority w:val="9"/>
    <w:semiHidden/>
    <w:unhideWhenUsed/>
    <w:qFormat/>
    <w:rsid w:val="00ED72E8"/>
    <w:pPr>
      <w:keepNext/>
      <w:keepLines/>
      <w:spacing w:line="278" w:lineRule="auto"/>
      <w:outlineLvl w:val="8"/>
    </w:pPr>
    <w:rPr>
      <w:rFonts w:asciiTheme="minorHAnsi" w:eastAsiaTheme="majorEastAsia" w:hAnsiTheme="minorHAnsi" w:cstheme="majorBidi"/>
      <w:color w:val="272727" w:themeColor="text1" w:themeTint="D8"/>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2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72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72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72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72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7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2E8"/>
    <w:rPr>
      <w:rFonts w:eastAsiaTheme="majorEastAsia" w:cstheme="majorBidi"/>
      <w:color w:val="272727" w:themeColor="text1" w:themeTint="D8"/>
    </w:rPr>
  </w:style>
  <w:style w:type="paragraph" w:styleId="Title">
    <w:name w:val="Title"/>
    <w:basedOn w:val="Normal"/>
    <w:next w:val="Normal"/>
    <w:link w:val="TitleChar"/>
    <w:uiPriority w:val="10"/>
    <w:qFormat/>
    <w:rsid w:val="00ED72E8"/>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ED7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2E8"/>
    <w:pPr>
      <w:numPr>
        <w:ilvl w:val="1"/>
      </w:numPr>
      <w:spacing w:after="160" w:line="278" w:lineRule="auto"/>
    </w:pPr>
    <w:rPr>
      <w:rFonts w:asciiTheme="minorHAnsi" w:eastAsiaTheme="majorEastAsia" w:hAnsiTheme="minorHAnsi" w:cstheme="majorBidi"/>
      <w:color w:val="595959" w:themeColor="text1" w:themeTint="A6"/>
      <w:spacing w:val="15"/>
      <w:sz w:val="28"/>
      <w:szCs w:val="28"/>
      <w:lang w:val="en-US"/>
      <w14:ligatures w14:val="standardContextual"/>
    </w:rPr>
  </w:style>
  <w:style w:type="character" w:customStyle="1" w:styleId="SubtitleChar">
    <w:name w:val="Subtitle Char"/>
    <w:basedOn w:val="DefaultParagraphFont"/>
    <w:link w:val="Subtitle"/>
    <w:uiPriority w:val="11"/>
    <w:rsid w:val="00ED7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2E8"/>
    <w:pPr>
      <w:spacing w:before="160" w:after="160" w:line="278" w:lineRule="auto"/>
      <w:jc w:val="center"/>
    </w:pPr>
    <w:rPr>
      <w:rFonts w:asciiTheme="minorHAnsi" w:eastAsiaTheme="minorHAnsi" w:hAnsiTheme="minorHAnsi" w:cstheme="minorBidi"/>
      <w:i/>
      <w:iCs/>
      <w:color w:val="404040" w:themeColor="text1" w:themeTint="BF"/>
      <w:sz w:val="24"/>
      <w:szCs w:val="24"/>
      <w:lang w:val="en-US"/>
      <w14:ligatures w14:val="standardContextual"/>
    </w:rPr>
  </w:style>
  <w:style w:type="character" w:customStyle="1" w:styleId="QuoteChar">
    <w:name w:val="Quote Char"/>
    <w:basedOn w:val="DefaultParagraphFont"/>
    <w:link w:val="Quote"/>
    <w:uiPriority w:val="29"/>
    <w:rsid w:val="00ED72E8"/>
    <w:rPr>
      <w:i/>
      <w:iCs/>
      <w:color w:val="404040" w:themeColor="text1" w:themeTint="BF"/>
    </w:rPr>
  </w:style>
  <w:style w:type="paragraph" w:styleId="ListParagraph">
    <w:name w:val="List Paragraph"/>
    <w:basedOn w:val="Normal"/>
    <w:uiPriority w:val="34"/>
    <w:qFormat/>
    <w:rsid w:val="00ED72E8"/>
    <w:pPr>
      <w:spacing w:after="160" w:line="278" w:lineRule="auto"/>
      <w:ind w:left="720"/>
      <w:contextualSpacing/>
    </w:pPr>
    <w:rPr>
      <w:rFonts w:asciiTheme="minorHAnsi" w:eastAsiaTheme="minorHAnsi" w:hAnsiTheme="minorHAnsi" w:cstheme="minorBidi"/>
      <w:sz w:val="24"/>
      <w:szCs w:val="24"/>
      <w:lang w:val="en-US"/>
      <w14:ligatures w14:val="standardContextual"/>
    </w:rPr>
  </w:style>
  <w:style w:type="character" w:styleId="IntenseEmphasis">
    <w:name w:val="Intense Emphasis"/>
    <w:basedOn w:val="DefaultParagraphFont"/>
    <w:uiPriority w:val="21"/>
    <w:qFormat/>
    <w:rsid w:val="00ED72E8"/>
    <w:rPr>
      <w:i/>
      <w:iCs/>
      <w:color w:val="2F5496" w:themeColor="accent1" w:themeShade="BF"/>
    </w:rPr>
  </w:style>
  <w:style w:type="paragraph" w:styleId="IntenseQuote">
    <w:name w:val="Intense Quote"/>
    <w:basedOn w:val="Normal"/>
    <w:next w:val="Normal"/>
    <w:link w:val="IntenseQuoteChar"/>
    <w:uiPriority w:val="30"/>
    <w:qFormat/>
    <w:rsid w:val="00ED72E8"/>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sz w:val="24"/>
      <w:szCs w:val="24"/>
      <w:lang w:val="en-US"/>
      <w14:ligatures w14:val="standardContextual"/>
    </w:rPr>
  </w:style>
  <w:style w:type="character" w:customStyle="1" w:styleId="IntenseQuoteChar">
    <w:name w:val="Intense Quote Char"/>
    <w:basedOn w:val="DefaultParagraphFont"/>
    <w:link w:val="IntenseQuote"/>
    <w:uiPriority w:val="30"/>
    <w:rsid w:val="00ED72E8"/>
    <w:rPr>
      <w:i/>
      <w:iCs/>
      <w:color w:val="2F5496" w:themeColor="accent1" w:themeShade="BF"/>
    </w:rPr>
  </w:style>
  <w:style w:type="character" w:styleId="IntenseReference">
    <w:name w:val="Intense Reference"/>
    <w:basedOn w:val="DefaultParagraphFont"/>
    <w:uiPriority w:val="32"/>
    <w:qFormat/>
    <w:rsid w:val="00ED72E8"/>
    <w:rPr>
      <w:b/>
      <w:bCs/>
      <w:smallCaps/>
      <w:color w:val="2F5496" w:themeColor="accent1" w:themeShade="BF"/>
      <w:spacing w:val="5"/>
    </w:rPr>
  </w:style>
  <w:style w:type="character" w:styleId="PlaceholderText">
    <w:name w:val="Placeholder Text"/>
    <w:basedOn w:val="DefaultParagraphFont"/>
    <w:uiPriority w:val="99"/>
    <w:semiHidden/>
    <w:rsid w:val="001B2F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4</Pages>
  <Words>1346</Words>
  <Characters>8386</Characters>
  <Application>Microsoft Office Word</Application>
  <DocSecurity>0</DocSecurity>
  <Lines>149</Lines>
  <Paragraphs>43</Paragraphs>
  <ScaleCrop>false</ScaleCrop>
  <Company/>
  <LinksUpToDate>false</LinksUpToDate>
  <CharactersWithSpaces>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65</cp:revision>
  <dcterms:created xsi:type="dcterms:W3CDTF">2026-03-08T13:03:00Z</dcterms:created>
  <dcterms:modified xsi:type="dcterms:W3CDTF">2026-03-08T15:50:00Z</dcterms:modified>
</cp:coreProperties>
</file>