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A1C0" w14:textId="77777777" w:rsidR="0089521D" w:rsidRDefault="0089521D">
      <w:pPr>
        <w:spacing w:after="800"/>
      </w:pPr>
    </w:p>
    <w:p w14:paraId="3F26F600" w14:textId="77777777" w:rsidR="0089521D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Supplementary Material</w:t>
      </w:r>
    </w:p>
    <w:p w14:paraId="54B84121" w14:textId="77777777" w:rsidR="0089521D" w:rsidRDefault="0089521D">
      <w:pPr>
        <w:spacing w:after="160"/>
      </w:pPr>
    </w:p>
    <w:p w14:paraId="3BA774BE" w14:textId="77777777" w:rsidR="0089521D" w:rsidRDefault="00000000">
      <w:pPr>
        <w:spacing w:after="120"/>
        <w:jc w:val="center"/>
      </w:pPr>
      <w:r>
        <w:rPr>
          <w:i/>
          <w:iCs/>
        </w:rPr>
        <w:t>Machine learning screening of magnetocaloric high-entropy alloys</w:t>
      </w:r>
    </w:p>
    <w:p w14:paraId="22366A20" w14:textId="77777777" w:rsidR="0089521D" w:rsidRDefault="00000000">
      <w:pPr>
        <w:spacing w:after="120"/>
        <w:jc w:val="center"/>
      </w:pPr>
      <w:r>
        <w:rPr>
          <w:i/>
          <w:iCs/>
        </w:rPr>
        <w:t xml:space="preserve">using a field-normalized </w:t>
      </w:r>
      <w:proofErr w:type="spellStart"/>
      <w:r>
        <w:rPr>
          <w:i/>
          <w:iCs/>
        </w:rPr>
        <w:t>ΔSref</w:t>
      </w:r>
      <w:proofErr w:type="spellEnd"/>
      <w:r>
        <w:rPr>
          <w:i/>
          <w:iCs/>
        </w:rPr>
        <w:t xml:space="preserve"> target</w:t>
      </w:r>
    </w:p>
    <w:p w14:paraId="1C9223F2" w14:textId="77777777" w:rsidR="0089521D" w:rsidRDefault="0089521D">
      <w:pPr>
        <w:spacing w:after="120"/>
      </w:pPr>
    </w:p>
    <w:p w14:paraId="64C19991" w14:textId="77777777" w:rsidR="0089521D" w:rsidRDefault="00000000">
      <w:pPr>
        <w:spacing w:after="160"/>
      </w:pPr>
      <w:r>
        <w:rPr>
          <w:b/>
          <w:bCs/>
        </w:rPr>
        <w:t>Contents:</w:t>
      </w:r>
    </w:p>
    <w:p w14:paraId="722D4B9B" w14:textId="77777777" w:rsidR="0089521D" w:rsidRDefault="00000000">
      <w:pPr>
        <w:spacing w:after="160"/>
      </w:pPr>
      <w:r>
        <w:t>Supplementary Figure S</w:t>
      </w:r>
      <w:proofErr w:type="gramStart"/>
      <w:r>
        <w:t>1  Distributions</w:t>
      </w:r>
      <w:proofErr w:type="gramEnd"/>
      <w:r>
        <w:t xml:space="preserve"> of compositional descriptors and magnetocaloric target variable</w:t>
      </w:r>
    </w:p>
    <w:p w14:paraId="4EBA63C8" w14:textId="77777777" w:rsidR="0089521D" w:rsidRDefault="00000000">
      <w:pPr>
        <w:spacing w:after="160"/>
      </w:pPr>
      <w:r>
        <w:t>Supplementary Figure S</w:t>
      </w:r>
      <w:proofErr w:type="gramStart"/>
      <w:r>
        <w:t>2  Per</w:t>
      </w:r>
      <w:proofErr w:type="gramEnd"/>
      <w:r>
        <w:t xml:space="preserve">-alloy field-scaling exponent 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 xml:space="preserve"> distribution</w:t>
      </w:r>
    </w:p>
    <w:p w14:paraId="5F92CDD7" w14:textId="77777777" w:rsidR="0089521D" w:rsidRDefault="00000000">
      <w:pPr>
        <w:spacing w:after="160"/>
      </w:pPr>
      <w:r>
        <w:t>Supplementary Figure S</w:t>
      </w:r>
      <w:proofErr w:type="gramStart"/>
      <w:r>
        <w:t>3  n</w:t>
      </w:r>
      <w:proofErr w:type="gramEnd"/>
      <w:r>
        <w:t>-scan: field-</w:t>
      </w:r>
      <w:proofErr w:type="spellStart"/>
      <w:r>
        <w:t>agnosticity</w:t>
      </w:r>
      <w:proofErr w:type="spellEnd"/>
      <w:r>
        <w:t xml:space="preserve"> target as a function of the normalization exponent n</w:t>
      </w:r>
    </w:p>
    <w:p w14:paraId="1DEF974F" w14:textId="77777777" w:rsidR="0089521D" w:rsidRDefault="00000000">
      <w:pPr>
        <w:spacing w:after="160"/>
      </w:pPr>
      <w:r>
        <w:t>Supplementary Table S</w:t>
      </w:r>
      <w:proofErr w:type="gramStart"/>
      <w:r>
        <w:t>1  Sensitivity</w:t>
      </w:r>
      <w:proofErr w:type="gramEnd"/>
      <w:r>
        <w:t xml:space="preserve"> of screening metrics to percentile threshold choice</w:t>
      </w:r>
    </w:p>
    <w:p w14:paraId="0B8C8240" w14:textId="77777777" w:rsidR="0089521D" w:rsidRDefault="00000000">
      <w:r>
        <w:t>Supplementary Table S</w:t>
      </w:r>
      <w:proofErr w:type="gramStart"/>
      <w:r>
        <w:t>2  Robust</w:t>
      </w:r>
      <w:proofErr w:type="gramEnd"/>
      <w:r>
        <w:t xml:space="preserve"> summary statistics of model performance across outer folds</w:t>
      </w:r>
    </w:p>
    <w:p w14:paraId="286D8ED8" w14:textId="77777777" w:rsidR="0089521D" w:rsidRDefault="00000000">
      <w:r>
        <w:t>Supplementary Figure S</w:t>
      </w:r>
      <w:proofErr w:type="gramStart"/>
      <w:r>
        <w:t>4  Sensitivity</w:t>
      </w:r>
      <w:proofErr w:type="gramEnd"/>
      <w:r>
        <w:t xml:space="preserve"> of residual field signature to the choice of n</w:t>
      </w:r>
    </w:p>
    <w:p w14:paraId="0E0DB3C9" w14:textId="77777777" w:rsidR="0089521D" w:rsidRDefault="00000000">
      <w:r>
        <w:br w:type="page"/>
      </w:r>
    </w:p>
    <w:p w14:paraId="3EB6EC27" w14:textId="77777777" w:rsidR="0089521D" w:rsidRDefault="00000000">
      <w:pPr>
        <w:pBdr>
          <w:bottom w:val="single" w:sz="6" w:space="1" w:color="2E75B6"/>
        </w:pBdr>
        <w:spacing w:before="400" w:after="160"/>
      </w:pPr>
      <w:r>
        <w:rPr>
          <w:b/>
          <w:bCs/>
          <w:sz w:val="24"/>
          <w:szCs w:val="24"/>
        </w:rPr>
        <w:lastRenderedPageBreak/>
        <w:t>Supplementary Figure S1</w:t>
      </w:r>
    </w:p>
    <w:p w14:paraId="0A8E6E9C" w14:textId="77777777" w:rsidR="0089521D" w:rsidRDefault="00000000">
      <w:pPr>
        <w:spacing w:before="200" w:after="80"/>
      </w:pPr>
      <w:r>
        <w:rPr>
          <w:b/>
          <w:bCs/>
          <w:color w:val="2E75B6"/>
          <w:sz w:val="20"/>
          <w:szCs w:val="20"/>
        </w:rPr>
        <w:t>Distributions of compositional descriptors and the magnetocaloric target variable</w:t>
      </w:r>
    </w:p>
    <w:p w14:paraId="1536135E" w14:textId="77777777" w:rsidR="0089521D" w:rsidRDefault="0089521D">
      <w:pPr>
        <w:spacing w:after="80"/>
      </w:pPr>
    </w:p>
    <w:p w14:paraId="5691B592" w14:textId="77777777" w:rsidR="008952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F7FDD2" wp14:editId="7FD149F6">
            <wp:extent cx="5619750" cy="459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7343" w14:textId="77777777" w:rsidR="0089521D" w:rsidRPr="00E164A7" w:rsidRDefault="00000000">
      <w:pPr>
        <w:spacing w:after="320"/>
        <w:ind w:left="360" w:right="360"/>
        <w:jc w:val="both"/>
      </w:pPr>
      <w:r>
        <w:rPr>
          <w:b/>
          <w:bCs/>
        </w:rPr>
        <w:t xml:space="preserve">Supplementary Figure S1. </w:t>
      </w:r>
      <w:proofErr w:type="spellStart"/>
      <w:r w:rsidRPr="00E164A7">
        <w:t>ΔSref</w:t>
      </w:r>
      <w:proofErr w:type="spellEnd"/>
      <w:r w:rsidRPr="00E164A7">
        <w:t xml:space="preserve"> is the field-normalized target used for model training (see main text). Histograms of the five compositional descriptors and the measured ΔSM (used for the ≥ 9 J kg⁻¹ K⁻¹ screening label) for all 199 HEA compositions in the compiled dataset (blue bars) and for the 25 high-ΔSM alloys with ΔSM ≥ 9 J kg⁻¹ K⁻¹ (orange overlay). (a) VEC: most alloys cluster between 4–8, with high-ΔSM alloys concentrated at VEC &lt; 7.3. (b) </w:t>
      </w:r>
      <w:proofErr w:type="spellStart"/>
      <w:r w:rsidRPr="00E164A7">
        <w:t>ΔSmix</w:t>
      </w:r>
      <w:proofErr w:type="spellEnd"/>
      <w:r w:rsidRPr="00E164A7">
        <w:t xml:space="preserve">: narrow range 11–19 J mol⁻¹ K⁻¹ for </w:t>
      </w:r>
      <w:proofErr w:type="gramStart"/>
      <w:r w:rsidRPr="00E164A7">
        <w:t>the majority of</w:t>
      </w:r>
      <w:proofErr w:type="gramEnd"/>
      <w:r w:rsidRPr="00E164A7">
        <w:t xml:space="preserve"> compositions. (c) </w:t>
      </w:r>
      <w:proofErr w:type="spellStart"/>
      <w:r w:rsidRPr="00E164A7">
        <w:t>ΔHmix</w:t>
      </w:r>
      <w:proofErr w:type="spellEnd"/>
      <w:r w:rsidRPr="00E164A7">
        <w:t xml:space="preserve">: bimodal; rare-earth-containing alloys cluster at highly negative values (&lt; −30 kJ mol⁻¹), transition-metal HEAs near 0. (d) δ: atomic size mismatch spans a wide range. (e) </w:t>
      </w:r>
      <w:proofErr w:type="spellStart"/>
      <w:r w:rsidRPr="00E164A7">
        <w:t>Δχ</w:t>
      </w:r>
      <w:proofErr w:type="spellEnd"/>
      <w:r w:rsidRPr="00E164A7">
        <w:t xml:space="preserve">: electronegativity difference is small for most alloys. (f) ΔSM: strongly </w:t>
      </w:r>
      <w:proofErr w:type="gramStart"/>
      <w:r w:rsidRPr="00E164A7">
        <w:t>right-skewed</w:t>
      </w:r>
      <w:proofErr w:type="gramEnd"/>
      <w:r w:rsidRPr="00E164A7">
        <w:t>; 87% of values fall below the 9 J kg⁻¹ K⁻¹ classification threshold (crimson dashed line), confirming the class imbalance discussed in the main text.</w:t>
      </w:r>
    </w:p>
    <w:p w14:paraId="3325A749" w14:textId="77777777" w:rsidR="0089521D" w:rsidRDefault="00000000">
      <w:r>
        <w:br w:type="page"/>
      </w:r>
    </w:p>
    <w:p w14:paraId="468F5C1C" w14:textId="77777777" w:rsidR="0089521D" w:rsidRDefault="00000000">
      <w:pPr>
        <w:pBdr>
          <w:bottom w:val="single" w:sz="6" w:space="1" w:color="2E75B6"/>
        </w:pBdr>
        <w:spacing w:before="400" w:after="160"/>
      </w:pPr>
      <w:r>
        <w:rPr>
          <w:b/>
          <w:bCs/>
          <w:sz w:val="24"/>
          <w:szCs w:val="24"/>
        </w:rPr>
        <w:lastRenderedPageBreak/>
        <w:t>Supplementary Figure S2</w:t>
      </w:r>
    </w:p>
    <w:p w14:paraId="04CD67AE" w14:textId="77777777" w:rsidR="0089521D" w:rsidRDefault="00000000">
      <w:pPr>
        <w:spacing w:before="200" w:after="80"/>
      </w:pPr>
      <w:r>
        <w:rPr>
          <w:b/>
          <w:bCs/>
          <w:color w:val="2E75B6"/>
          <w:sz w:val="20"/>
          <w:szCs w:val="20"/>
        </w:rPr>
        <w:t xml:space="preserve">Per-alloy field-scaling exponent </w:t>
      </w:r>
      <w:proofErr w:type="spellStart"/>
      <w:r>
        <w:rPr>
          <w:b/>
          <w:bCs/>
          <w:color w:val="2E75B6"/>
          <w:sz w:val="20"/>
          <w:szCs w:val="20"/>
        </w:rPr>
        <w:t>n_i</w:t>
      </w:r>
      <w:proofErr w:type="spellEnd"/>
      <w:r>
        <w:rPr>
          <w:b/>
          <w:bCs/>
          <w:color w:val="2E75B6"/>
          <w:sz w:val="20"/>
          <w:szCs w:val="20"/>
        </w:rPr>
        <w:t xml:space="preserve"> distribution (alloys with ≥ 2 distinct field measurements)</w:t>
      </w:r>
    </w:p>
    <w:p w14:paraId="570F38F4" w14:textId="77777777" w:rsidR="0089521D" w:rsidRDefault="0089521D">
      <w:pPr>
        <w:spacing w:after="80"/>
      </w:pPr>
    </w:p>
    <w:p w14:paraId="7E08D210" w14:textId="77777777" w:rsidR="008952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0F5922" wp14:editId="36DB1D15">
            <wp:extent cx="5715000" cy="2419350"/>
            <wp:effectExtent l="0" t="0" r="0" b="0"/>
            <wp:docPr id="2052882956" name="Picture 205288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9F75" w14:textId="77777777" w:rsidR="0089521D" w:rsidRDefault="00000000">
      <w:pPr>
        <w:spacing w:after="320"/>
        <w:ind w:left="360" w:right="360"/>
        <w:jc w:val="both"/>
      </w:pPr>
      <w:r>
        <w:rPr>
          <w:b/>
          <w:bCs/>
        </w:rPr>
        <w:t xml:space="preserve">Supplementary Figure S2. </w:t>
      </w:r>
      <w:r>
        <w:rPr>
          <w:i/>
          <w:iCs/>
        </w:rPr>
        <w:t xml:space="preserve">Distribution of per-alloy field-scaling exponents 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i</w:t>
      </w:r>
      <w:proofErr w:type="spellEnd"/>
      <w:r>
        <w:rPr>
          <w:i/>
          <w:iCs/>
        </w:rPr>
        <w:t>, computed for the 25 alloys in the dataset that have measurements at ≥ 2 distinct applied fields. (a) Histogram with the pooled fixed-effects estimate n* = 0.913 (black dashed line) and its cluster-bootstrap 95% confidence interval [0.811, 1.053] (blue shading). (b) Box-and-whisker plot with individual data points (jittered); the orange line marks the median (n = 0.861); open circles are outliers. (c) Deviation histogram (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i</w:t>
      </w:r>
      <w:proofErr w:type="spellEnd"/>
      <w:r>
        <w:rPr>
          <w:i/>
          <w:iCs/>
        </w:rPr>
        <w:t xml:space="preserve"> − n*); the mean deviation is 0.006 (orange dotted line), confirming the absence of systematic bias. The spread (SD = 0.293) reflects genuine variability, primarily due to each per-alloy estimate being based on only 2–3 field points. Note that 99 of 124 alloys have measurements at a single field only and therefore cannot contribute per-alloy slope estimates; the pooled fixed-effects regression provides the statistically stable global estimate for this reason.</w:t>
      </w:r>
    </w:p>
    <w:p w14:paraId="5C4517DB" w14:textId="77777777" w:rsidR="0089521D" w:rsidRDefault="00000000">
      <w:r>
        <w:br w:type="page"/>
      </w:r>
    </w:p>
    <w:p w14:paraId="61B109EB" w14:textId="77777777" w:rsidR="0089521D" w:rsidRDefault="00000000">
      <w:pPr>
        <w:pBdr>
          <w:bottom w:val="single" w:sz="6" w:space="1" w:color="2E75B6"/>
        </w:pBdr>
        <w:spacing w:before="400" w:after="160"/>
      </w:pPr>
      <w:r>
        <w:rPr>
          <w:b/>
          <w:bCs/>
          <w:sz w:val="24"/>
          <w:szCs w:val="24"/>
        </w:rPr>
        <w:lastRenderedPageBreak/>
        <w:t>Supplementary Figure S3</w:t>
      </w:r>
    </w:p>
    <w:p w14:paraId="5FD662A6" w14:textId="77777777" w:rsidR="0089521D" w:rsidRDefault="00000000">
      <w:pPr>
        <w:spacing w:before="200" w:after="80"/>
      </w:pPr>
      <w:r>
        <w:rPr>
          <w:b/>
          <w:bCs/>
          <w:color w:val="2E75B6"/>
          <w:sz w:val="20"/>
          <w:szCs w:val="20"/>
        </w:rPr>
        <w:t>n-scan: field-</w:t>
      </w:r>
      <w:proofErr w:type="spellStart"/>
      <w:r>
        <w:rPr>
          <w:b/>
          <w:bCs/>
          <w:color w:val="2E75B6"/>
          <w:sz w:val="20"/>
          <w:szCs w:val="20"/>
        </w:rPr>
        <w:t>agnosticity</w:t>
      </w:r>
      <w:proofErr w:type="spellEnd"/>
      <w:r>
        <w:rPr>
          <w:b/>
          <w:bCs/>
          <w:color w:val="2E75B6"/>
          <w:sz w:val="20"/>
          <w:szCs w:val="20"/>
        </w:rPr>
        <w:t xml:space="preserve"> diagnostic as a function of the normalization exponent</w:t>
      </w:r>
    </w:p>
    <w:p w14:paraId="3E9351D2" w14:textId="77777777" w:rsidR="0089521D" w:rsidRDefault="0089521D">
      <w:pPr>
        <w:spacing w:after="80"/>
      </w:pPr>
    </w:p>
    <w:p w14:paraId="34B6C520" w14:textId="77777777" w:rsidR="0089521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EF77D28" wp14:editId="478928CB">
            <wp:extent cx="4000500" cy="2486025"/>
            <wp:effectExtent l="0" t="0" r="0" b="0"/>
            <wp:docPr id="24250165" name="Picture 2425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1C50" w14:textId="77777777" w:rsidR="0089521D" w:rsidRDefault="00000000">
      <w:pPr>
        <w:spacing w:after="320"/>
        <w:ind w:left="360" w:right="360"/>
        <w:jc w:val="both"/>
      </w:pPr>
      <w:r>
        <w:rPr>
          <w:b/>
          <w:bCs/>
        </w:rPr>
        <w:t xml:space="preserve">Supplementary Figure S3. </w:t>
      </w:r>
      <w:r>
        <w:rPr>
          <w:i/>
          <w:iCs/>
        </w:rPr>
        <w:t>Grid search over the field-normalization exponent n ∈ [0.60, 1.00], showing four field-</w:t>
      </w:r>
      <w:proofErr w:type="spellStart"/>
      <w:r>
        <w:rPr>
          <w:i/>
          <w:iCs/>
        </w:rPr>
        <w:t>agnosticity</w:t>
      </w:r>
      <w:proofErr w:type="spellEnd"/>
      <w:r>
        <w:rPr>
          <w:i/>
          <w:iCs/>
        </w:rPr>
        <w:t xml:space="preserve"> diagnostics as a function of n. The primary diagnostic (blue, |FE </w:t>
      </w:r>
      <w:proofErr w:type="spellStart"/>
      <w:r>
        <w:rPr>
          <w:i/>
          <w:iCs/>
        </w:rPr>
        <w:t>beta_after</w:t>
      </w:r>
      <w:proofErr w:type="spellEnd"/>
      <w:r>
        <w:rPr>
          <w:i/>
          <w:iCs/>
        </w:rPr>
        <w:t>|) is the absolute fixed-effects slope of log(</w:t>
      </w:r>
      <w:proofErr w:type="spellStart"/>
      <w:r>
        <w:rPr>
          <w:i/>
          <w:iCs/>
        </w:rPr>
        <w:t>ΔS</w:t>
      </w:r>
      <w:r>
        <w:rPr>
          <w:i/>
          <w:iCs/>
          <w:vertAlign w:val="subscript"/>
        </w:rPr>
        <w:t>ref</w:t>
      </w:r>
      <w:proofErr w:type="spellEnd"/>
      <w:r>
        <w:rPr>
          <w:i/>
          <w:iCs/>
        </w:rPr>
        <w:t>) on log(H) after removing alloy-specific intercepts; a value of zero indicates complete field-</w:t>
      </w:r>
      <w:proofErr w:type="spellStart"/>
      <w:r>
        <w:rPr>
          <w:i/>
          <w:iCs/>
        </w:rPr>
        <w:t>agnosticity</w:t>
      </w:r>
      <w:proofErr w:type="spellEnd"/>
      <w:r>
        <w:rPr>
          <w:i/>
          <w:iCs/>
        </w:rPr>
        <w:t xml:space="preserve">. The secondary diagnostics (|r|: Pearson correlation; |ρ|: Spearman rank correlation; |raw slope|: uncorrected log–log slope) are shown for completeness but are scale-invariant with respect to </w:t>
      </w:r>
      <w:proofErr w:type="spellStart"/>
      <w:r>
        <w:rPr>
          <w:i/>
          <w:iCs/>
        </w:rPr>
        <w:t>H</w:t>
      </w:r>
      <w:r>
        <w:rPr>
          <w:i/>
          <w:iCs/>
          <w:vertAlign w:val="subscript"/>
        </w:rPr>
        <w:t>ref</w:t>
      </w:r>
      <w:proofErr w:type="spellEnd"/>
      <w:r>
        <w:rPr>
          <w:i/>
          <w:iCs/>
        </w:rPr>
        <w:t xml:space="preserve"> and therefore not informative for the sensitivity analysis in Comment 2.3. The vertical dashed line marks the pooled fixed-effects estimate n∗ = 0.913 (95% cluster-bootstrap CI: [0.811, 1.053]). The primary curve reaches its minimum at n ≈ 0.915, fully consistent with n*, confirming that n* achieves the best possible field-</w:t>
      </w:r>
      <w:proofErr w:type="spellStart"/>
      <w:r>
        <w:rPr>
          <w:i/>
          <w:iCs/>
        </w:rPr>
        <w:t>agnosticity</w:t>
      </w:r>
      <w:proofErr w:type="spellEnd"/>
      <w:r>
        <w:rPr>
          <w:i/>
          <w:iCs/>
        </w:rPr>
        <w:t xml:space="preserve"> among the values tested. Lower values of |FE </w:t>
      </w:r>
      <w:proofErr w:type="spellStart"/>
      <w:r>
        <w:rPr>
          <w:i/>
          <w:iCs/>
        </w:rPr>
        <w:t>beta_after</w:t>
      </w:r>
      <w:proofErr w:type="spellEnd"/>
      <w:r>
        <w:rPr>
          <w:i/>
          <w:iCs/>
        </w:rPr>
        <w:t>| are better (target = 0).</w:t>
      </w:r>
    </w:p>
    <w:p w14:paraId="590C1209" w14:textId="77777777" w:rsidR="0089521D" w:rsidRDefault="00000000">
      <w:r>
        <w:br w:type="page"/>
      </w:r>
    </w:p>
    <w:p w14:paraId="3F1CCF77" w14:textId="77777777" w:rsidR="0089521D" w:rsidRDefault="00000000">
      <w:pPr>
        <w:pBdr>
          <w:bottom w:val="single" w:sz="6" w:space="1" w:color="2E75B6"/>
        </w:pBdr>
        <w:spacing w:before="400" w:after="160"/>
      </w:pPr>
      <w:r>
        <w:rPr>
          <w:b/>
          <w:bCs/>
          <w:sz w:val="24"/>
          <w:szCs w:val="24"/>
        </w:rPr>
        <w:lastRenderedPageBreak/>
        <w:t>Supplementary Table S1</w:t>
      </w:r>
    </w:p>
    <w:p w14:paraId="4F4FED29" w14:textId="77777777" w:rsidR="0089521D" w:rsidRDefault="00000000">
      <w:pPr>
        <w:spacing w:before="200" w:after="80"/>
      </w:pPr>
      <w:r>
        <w:rPr>
          <w:b/>
          <w:bCs/>
          <w:color w:val="2E75B6"/>
          <w:sz w:val="20"/>
          <w:szCs w:val="20"/>
        </w:rPr>
        <w:t>Sensitivity of screening metrics to percentile threshold choice</w:t>
      </w:r>
    </w:p>
    <w:p w14:paraId="484A0B12" w14:textId="77777777" w:rsidR="0089521D" w:rsidRDefault="0089521D">
      <w:pPr>
        <w:spacing w:after="80"/>
      </w:pPr>
    </w:p>
    <w:p w14:paraId="5B978ED3" w14:textId="77777777" w:rsidR="0089521D" w:rsidRDefault="00000000">
      <w:pPr>
        <w:spacing w:after="160"/>
      </w:pPr>
      <w:r>
        <w:t xml:space="preserve">The screening rule is derived by applying simultaneous percentile-based thresholds to three key descriptors (VEC, </w:t>
      </w:r>
      <w:proofErr w:type="spellStart"/>
      <w:r>
        <w:t>ΔS</w:t>
      </w:r>
      <w:r>
        <w:rPr>
          <w:vertAlign w:val="subscript"/>
        </w:rPr>
        <w:t>mix</w:t>
      </w:r>
      <w:proofErr w:type="spellEnd"/>
      <w:r>
        <w:t xml:space="preserve">, </w:t>
      </w:r>
      <w:proofErr w:type="spellStart"/>
      <w:r>
        <w:t>ΔH</w:t>
      </w:r>
      <w:r>
        <w:rPr>
          <w:vertAlign w:val="subscript"/>
        </w:rPr>
        <w:t>mix</w:t>
      </w:r>
      <w:proofErr w:type="spellEnd"/>
      <w:r>
        <w:t>). The percentile p defines the interval [</w:t>
      </w:r>
      <w:proofErr w:type="spellStart"/>
      <w:r>
        <w:t>p</w:t>
      </w:r>
      <w:r>
        <w:rPr>
          <w:vertAlign w:val="subscript"/>
        </w:rPr>
        <w:t>lo</w:t>
      </w:r>
      <w:proofErr w:type="spellEnd"/>
      <w:r>
        <w:t>, p</w:t>
      </w:r>
      <w:r>
        <w:rPr>
          <w:vertAlign w:val="subscript"/>
        </w:rPr>
        <w:t>hi</w:t>
      </w:r>
      <w:r>
        <w:t xml:space="preserve">] for each descriptor, where </w:t>
      </w:r>
      <w:proofErr w:type="spellStart"/>
      <w:r>
        <w:t>p</w:t>
      </w:r>
      <w:r>
        <w:rPr>
          <w:vertAlign w:val="subscript"/>
        </w:rPr>
        <w:t>lo</w:t>
      </w:r>
      <w:proofErr w:type="spellEnd"/>
      <w:r>
        <w:t xml:space="preserve"> = (100 − p)/2 and p</w:t>
      </w:r>
      <w:r>
        <w:rPr>
          <w:vertAlign w:val="subscript"/>
        </w:rPr>
        <w:t>hi</w:t>
      </w:r>
      <w:r>
        <w:t xml:space="preserve"> = 100 − (100 − p)/2. A higher percentile yields tighter, more selective intervals. Table S1 reports how classification performance changes across three representative choices.</w:t>
      </w:r>
    </w:p>
    <w:p w14:paraId="604F13F6" w14:textId="77777777" w:rsidR="0089521D" w:rsidRDefault="0089521D">
      <w:pPr>
        <w:spacing w:after="8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100"/>
        <w:gridCol w:w="1200"/>
        <w:gridCol w:w="1000"/>
        <w:gridCol w:w="1600"/>
        <w:gridCol w:w="1026"/>
      </w:tblGrid>
      <w:tr w:rsidR="0089521D" w14:paraId="7248B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A001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25D3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D2DD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3F80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BD4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9DD3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Enrichment factor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8F20" w14:textId="77777777" w:rsidR="0089521D" w:rsidRDefault="00000000">
            <w:r>
              <w:rPr>
                <w:b/>
                <w:bCs/>
                <w:color w:val="FFFFFF"/>
                <w:sz w:val="20"/>
                <w:szCs w:val="20"/>
              </w:rPr>
              <w:t>MCC</w:t>
            </w:r>
          </w:p>
        </w:tc>
      </w:tr>
      <w:tr w:rsidR="0089521D" w14:paraId="7151C0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86E7" w14:textId="77777777" w:rsidR="0089521D" w:rsidRDefault="00000000">
            <w:r>
              <w:rPr>
                <w:color w:val="000000"/>
                <w:sz w:val="20"/>
                <w:szCs w:val="20"/>
              </w:rPr>
              <w:t>Narrow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380A" w14:textId="77777777" w:rsidR="0089521D" w:rsidRDefault="00000000">
            <w:r>
              <w:rPr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B5AC" w14:textId="77777777" w:rsidR="0089521D" w:rsidRDefault="00000000">
            <w:r>
              <w:rPr>
                <w:color w:val="000000"/>
                <w:sz w:val="20"/>
                <w:szCs w:val="20"/>
              </w:rPr>
              <w:t>0.480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3963" w14:textId="77777777" w:rsidR="0089521D" w:rsidRDefault="00000000">
            <w:r>
              <w:rPr>
                <w:color w:val="000000"/>
                <w:sz w:val="20"/>
                <w:szCs w:val="20"/>
              </w:rPr>
              <w:t>0.273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63C1" w14:textId="77777777" w:rsidR="0089521D" w:rsidRDefault="00000000">
            <w:r>
              <w:rPr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C652" w14:textId="77777777" w:rsidR="0089521D" w:rsidRDefault="00000000">
            <w:r>
              <w:rPr>
                <w:color w:val="000000"/>
                <w:sz w:val="20"/>
                <w:szCs w:val="20"/>
              </w:rPr>
              <w:t>2.17×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FE26" w14:textId="77777777" w:rsidR="0089521D" w:rsidRDefault="00000000">
            <w:r>
              <w:rPr>
                <w:color w:val="000000"/>
                <w:sz w:val="20"/>
                <w:szCs w:val="20"/>
              </w:rPr>
              <w:t>0.236</w:t>
            </w:r>
          </w:p>
        </w:tc>
      </w:tr>
      <w:tr w:rsidR="0089521D" w14:paraId="2A2E9C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B5B6" w14:textId="77777777" w:rsidR="0089521D" w:rsidRDefault="00000000">
            <w:r>
              <w:rPr>
                <w:color w:val="000000"/>
                <w:sz w:val="20"/>
                <w:szCs w:val="20"/>
              </w:rPr>
              <w:t>Selected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E719" w14:textId="77777777" w:rsidR="0089521D" w:rsidRDefault="00000000">
            <w:r>
              <w:rPr>
                <w:color w:val="000000"/>
                <w:sz w:val="20"/>
                <w:szCs w:val="20"/>
              </w:rPr>
              <w:t>0.347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9E13" w14:textId="77777777" w:rsidR="0089521D" w:rsidRDefault="00000000">
            <w:r>
              <w:rPr>
                <w:color w:val="000000"/>
                <w:sz w:val="20"/>
                <w:szCs w:val="20"/>
              </w:rPr>
              <w:t>0.720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F946" w14:textId="77777777" w:rsidR="0089521D" w:rsidRDefault="00000000">
            <w:r>
              <w:rPr>
                <w:color w:val="000000"/>
                <w:sz w:val="20"/>
                <w:szCs w:val="20"/>
              </w:rPr>
              <w:t>0.261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B904" w14:textId="77777777" w:rsidR="0089521D" w:rsidRDefault="00000000">
            <w:r>
              <w:rPr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85F9" w14:textId="77777777" w:rsidR="0089521D" w:rsidRDefault="00000000">
            <w:r>
              <w:rPr>
                <w:color w:val="000000"/>
                <w:sz w:val="20"/>
                <w:szCs w:val="20"/>
              </w:rPr>
              <w:t>2.08×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9225" w14:textId="77777777" w:rsidR="0089521D" w:rsidRDefault="00000000">
            <w:r>
              <w:rPr>
                <w:color w:val="000000"/>
                <w:sz w:val="20"/>
                <w:szCs w:val="20"/>
              </w:rPr>
              <w:t>0.297</w:t>
            </w:r>
          </w:p>
        </w:tc>
      </w:tr>
      <w:tr w:rsidR="0089521D" w14:paraId="32DCF2B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A046" w14:textId="77777777" w:rsidR="0089521D" w:rsidRDefault="00000000">
            <w:r>
              <w:rPr>
                <w:color w:val="000000"/>
                <w:sz w:val="20"/>
                <w:szCs w:val="20"/>
              </w:rPr>
              <w:t>Wide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71CD" w14:textId="77777777" w:rsidR="0089521D" w:rsidRDefault="00000000">
            <w:r>
              <w:rPr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8D2E" w14:textId="77777777" w:rsidR="0089521D" w:rsidRDefault="00000000">
            <w:r>
              <w:rPr>
                <w:color w:val="000000"/>
                <w:sz w:val="20"/>
                <w:szCs w:val="20"/>
              </w:rPr>
              <w:t>0.760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F108" w14:textId="77777777" w:rsidR="0089521D" w:rsidRDefault="00000000">
            <w:r>
              <w:rPr>
                <w:color w:val="000000"/>
                <w:sz w:val="20"/>
                <w:szCs w:val="20"/>
              </w:rPr>
              <w:t>0.260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9925" w14:textId="77777777" w:rsidR="0089521D" w:rsidRDefault="00000000">
            <w:r>
              <w:rPr>
                <w:color w:val="000000"/>
                <w:sz w:val="20"/>
                <w:szCs w:val="20"/>
              </w:rPr>
              <w:t>0.388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0718" w14:textId="77777777" w:rsidR="0089521D" w:rsidRDefault="00000000">
            <w:r>
              <w:rPr>
                <w:color w:val="000000"/>
                <w:sz w:val="20"/>
                <w:szCs w:val="20"/>
              </w:rPr>
              <w:t>2.07×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F7B7" w14:textId="77777777" w:rsidR="0089521D" w:rsidRDefault="00000000">
            <w:r>
              <w:rPr>
                <w:color w:val="000000"/>
                <w:sz w:val="20"/>
                <w:szCs w:val="20"/>
              </w:rPr>
              <w:t>0.309</w:t>
            </w:r>
          </w:p>
        </w:tc>
      </w:tr>
    </w:tbl>
    <w:p w14:paraId="6157F1AE" w14:textId="77777777" w:rsidR="0089521D" w:rsidRDefault="0089521D">
      <w:pPr>
        <w:spacing w:after="120"/>
      </w:pPr>
    </w:p>
    <w:p w14:paraId="05DF7795" w14:textId="77777777" w:rsidR="0089521D" w:rsidRDefault="00000000">
      <w:pPr>
        <w:spacing w:after="320"/>
        <w:ind w:left="360" w:right="360"/>
        <w:jc w:val="both"/>
      </w:pPr>
      <w:r>
        <w:rPr>
          <w:b/>
          <w:bCs/>
        </w:rPr>
        <w:t xml:space="preserve">Supplementary Table S1. </w:t>
      </w:r>
      <w:r w:rsidRPr="001911E1">
        <w:t xml:space="preserve">Performance metrics of the composition-only screening rule as a function of the descriptor interval width (percentile threshold). Coverage = fraction of all alloys passing the rule. Recall = fraction of true high-ΔSM alloys correctly captured. Precision = fraction of rule-selected alloys that are truly high-ΔSM. F1 = harmonic mean of precision and recall. Enrichment factor = precision / base rate (base rate = 25/199 = 0.126). MCC = </w:t>
      </w:r>
      <w:proofErr w:type="gramStart"/>
      <w:r w:rsidRPr="001911E1">
        <w:t>Matthews</w:t>
      </w:r>
      <w:proofErr w:type="gramEnd"/>
      <w:r w:rsidRPr="001911E1">
        <w:t xml:space="preserve"> correlation coefficient (range −1 to 1; 0 = chance-level). Three threshold configurations are compared as a sensitivity analysis: Narrow (2.4 ≤ VEC ≤ 6.8, 11.5 ≤ </w:t>
      </w:r>
      <w:proofErr w:type="spellStart"/>
      <w:r w:rsidRPr="001911E1">
        <w:t>ΔSmix</w:t>
      </w:r>
      <w:proofErr w:type="spellEnd"/>
      <w:r w:rsidRPr="001911E1">
        <w:t xml:space="preserve"> ≤ 19.1 J mol⁻¹ K⁻¹, and −46.5 ≤ </w:t>
      </w:r>
      <w:proofErr w:type="spellStart"/>
      <w:r w:rsidRPr="001911E1">
        <w:t>ΔHmix</w:t>
      </w:r>
      <w:proofErr w:type="spellEnd"/>
      <w:r w:rsidRPr="001911E1">
        <w:t xml:space="preserve"> ≤ −27.6 kJ mol⁻¹), Selected (2.4 ≤ VEC ≤ 7.3, 11.5 ≤ </w:t>
      </w:r>
      <w:proofErr w:type="spellStart"/>
      <w:r w:rsidRPr="001911E1">
        <w:t>ΔSmix</w:t>
      </w:r>
      <w:proofErr w:type="spellEnd"/>
      <w:r w:rsidRPr="001911E1">
        <w:t xml:space="preserve"> ≤ 19.1 J mol⁻¹ K⁻¹, and −46.5 ≤ </w:t>
      </w:r>
      <w:proofErr w:type="spellStart"/>
      <w:r w:rsidRPr="001911E1">
        <w:t>ΔHmix</w:t>
      </w:r>
      <w:proofErr w:type="spellEnd"/>
      <w:r w:rsidRPr="001911E1">
        <w:t xml:space="preserve"> ≤ −27.6 kJ mol⁻¹; used in the main analysis), and Wide (2.4 ≤ VEC ≤ 7.5, 11.5 ≤ </w:t>
      </w:r>
      <w:proofErr w:type="spellStart"/>
      <w:r w:rsidRPr="001911E1">
        <w:t>ΔSmix</w:t>
      </w:r>
      <w:proofErr w:type="spellEnd"/>
      <w:r w:rsidRPr="001911E1">
        <w:t xml:space="preserve"> ≤ 19.1 J mol⁻¹ K⁻¹, and −46.5 ≤ </w:t>
      </w:r>
      <w:proofErr w:type="spellStart"/>
      <w:r w:rsidRPr="001911E1">
        <w:t>ΔHmix</w:t>
      </w:r>
      <w:proofErr w:type="spellEnd"/>
      <w:r w:rsidRPr="001911E1">
        <w:t xml:space="preserve"> ≤ −25.0 kJ mol⁻¹). The Selected threshold maximises F1 (0.383) while maintaining recall (0.720) at coverage 0.347, yielding ~2.1× enrichment. Enrichment is robust across all three configurations (2.07–2.17×), confirming that the practical advantage over random screening is insensitive to moderate threshold changes. All three configurations share the same lower bounds: VEC ≥ 2.4, </w:t>
      </w:r>
      <w:proofErr w:type="spellStart"/>
      <w:r w:rsidRPr="001911E1">
        <w:t>ΔHmix</w:t>
      </w:r>
      <w:proofErr w:type="spellEnd"/>
      <w:r w:rsidRPr="001911E1">
        <w:t xml:space="preserve"> ≥ −46.5 kJ mol⁻¹, and </w:t>
      </w:r>
      <w:proofErr w:type="spellStart"/>
      <w:r w:rsidRPr="001911E1">
        <w:t>ΔSmix</w:t>
      </w:r>
      <w:proofErr w:type="spellEnd"/>
      <w:r w:rsidRPr="001911E1">
        <w:t xml:space="preserve"> ≥ 11.5 J mol⁻¹ K⁻¹; only the upper bounds vary as described above.</w:t>
      </w:r>
    </w:p>
    <w:p w14:paraId="68FB3AA9" w14:textId="77777777" w:rsidR="0089521D" w:rsidRDefault="0089521D">
      <w:pPr>
        <w:spacing w:after="160"/>
      </w:pPr>
    </w:p>
    <w:p w14:paraId="090653B1" w14:textId="77777777" w:rsidR="0089521D" w:rsidRDefault="0089521D"/>
    <w:p w14:paraId="52C56F29" w14:textId="77777777" w:rsidR="0089521D" w:rsidRPr="001911E1" w:rsidRDefault="00000000">
      <w:pPr>
        <w:rPr>
          <w:b/>
          <w:bCs/>
        </w:rPr>
      </w:pPr>
      <w:r w:rsidRPr="001911E1">
        <w:rPr>
          <w:b/>
          <w:bCs/>
        </w:rPr>
        <w:t>Supplementary Table S2</w:t>
      </w:r>
    </w:p>
    <w:p w14:paraId="7B466B22" w14:textId="77777777" w:rsidR="0089521D" w:rsidRDefault="00000000">
      <w:r>
        <w:t>Supplementary Table S2. Robust summary statistics (median and interquartile range) of model performance across 10 outer folds of nested cross-validation, reported alongside mean ± SD from Table 1 of the main manuscript.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9521D" w14:paraId="133CAD10" w14:textId="77777777" w:rsidTr="00275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5788DF20" w14:textId="77777777" w:rsidR="0089521D" w:rsidRDefault="00000000">
            <w:r>
              <w:t>Algorithm</w:t>
            </w:r>
          </w:p>
        </w:tc>
        <w:tc>
          <w:tcPr>
            <w:tcW w:w="1289" w:type="dxa"/>
          </w:tcPr>
          <w:p w14:paraId="38E4BE7E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1289" w:type="dxa"/>
          </w:tcPr>
          <w:p w14:paraId="3A6CC8E2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  <w:tc>
          <w:tcPr>
            <w:tcW w:w="1289" w:type="dxa"/>
          </w:tcPr>
          <w:p w14:paraId="7A634929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(J kg⁻¹ K⁻¹)</w:t>
            </w:r>
          </w:p>
        </w:tc>
        <w:tc>
          <w:tcPr>
            <w:tcW w:w="1289" w:type="dxa"/>
          </w:tcPr>
          <w:p w14:paraId="4DFA998A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(J kg⁻¹ K⁻¹)</w:t>
            </w:r>
          </w:p>
        </w:tc>
        <w:tc>
          <w:tcPr>
            <w:tcW w:w="1289" w:type="dxa"/>
          </w:tcPr>
          <w:p w14:paraId="21E10F7D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(J kg⁻¹ K⁻¹)</w:t>
            </w:r>
          </w:p>
        </w:tc>
        <w:tc>
          <w:tcPr>
            <w:tcW w:w="1289" w:type="dxa"/>
          </w:tcPr>
          <w:p w14:paraId="521BE568" w14:textId="77777777" w:rsidR="0089521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(J kg⁻¹ K⁻¹)</w:t>
            </w:r>
          </w:p>
        </w:tc>
      </w:tr>
      <w:tr w:rsidR="0089521D" w14:paraId="1335F2DD" w14:textId="77777777" w:rsidTr="00275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19C7EFF8" w14:textId="77777777" w:rsidR="0089521D" w:rsidRDefault="0089521D"/>
        </w:tc>
        <w:tc>
          <w:tcPr>
            <w:tcW w:w="1289" w:type="dxa"/>
          </w:tcPr>
          <w:p w14:paraId="264DB691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Mean ± SD</w:t>
            </w:r>
          </w:p>
        </w:tc>
        <w:tc>
          <w:tcPr>
            <w:tcW w:w="1289" w:type="dxa"/>
          </w:tcPr>
          <w:p w14:paraId="0E61985E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Median [Q1, Q3]</w:t>
            </w:r>
          </w:p>
        </w:tc>
        <w:tc>
          <w:tcPr>
            <w:tcW w:w="1289" w:type="dxa"/>
          </w:tcPr>
          <w:p w14:paraId="511F10C2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Mean ± SD</w:t>
            </w:r>
          </w:p>
        </w:tc>
        <w:tc>
          <w:tcPr>
            <w:tcW w:w="1289" w:type="dxa"/>
          </w:tcPr>
          <w:p w14:paraId="2FD2CEAD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Median [Q1, Q3]</w:t>
            </w:r>
          </w:p>
        </w:tc>
        <w:tc>
          <w:tcPr>
            <w:tcW w:w="1289" w:type="dxa"/>
          </w:tcPr>
          <w:p w14:paraId="454F816A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Mean ± SD</w:t>
            </w:r>
          </w:p>
        </w:tc>
        <w:tc>
          <w:tcPr>
            <w:tcW w:w="1289" w:type="dxa"/>
          </w:tcPr>
          <w:p w14:paraId="16248CB0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Median [Q1, Q3]</w:t>
            </w:r>
          </w:p>
        </w:tc>
      </w:tr>
      <w:tr w:rsidR="0089521D" w14:paraId="778310C9" w14:textId="77777777" w:rsidTr="00275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17B2C13C" w14:textId="77777777" w:rsidR="0089521D" w:rsidRDefault="00000000">
            <w:proofErr w:type="spellStart"/>
            <w:r>
              <w:t>LightGBM</w:t>
            </w:r>
            <w:proofErr w:type="spellEnd"/>
          </w:p>
        </w:tc>
        <w:tc>
          <w:tcPr>
            <w:tcW w:w="1289" w:type="dxa"/>
          </w:tcPr>
          <w:p w14:paraId="3FABD012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0.801 ± 0.212</w:t>
            </w:r>
          </w:p>
        </w:tc>
        <w:tc>
          <w:tcPr>
            <w:tcW w:w="1289" w:type="dxa"/>
          </w:tcPr>
          <w:p w14:paraId="3D5A2200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0.873 [0.842, 0.892]</w:t>
            </w:r>
          </w:p>
        </w:tc>
        <w:tc>
          <w:tcPr>
            <w:tcW w:w="1289" w:type="dxa"/>
          </w:tcPr>
          <w:p w14:paraId="45D71D36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2.881 ± 1.290</w:t>
            </w:r>
          </w:p>
        </w:tc>
        <w:tc>
          <w:tcPr>
            <w:tcW w:w="1289" w:type="dxa"/>
          </w:tcPr>
          <w:p w14:paraId="688877D5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3.109 [1.635, 3.915]</w:t>
            </w:r>
          </w:p>
        </w:tc>
        <w:tc>
          <w:tcPr>
            <w:tcW w:w="1289" w:type="dxa"/>
          </w:tcPr>
          <w:p w14:paraId="566A10B3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1.793 ± 0.700</w:t>
            </w:r>
          </w:p>
        </w:tc>
        <w:tc>
          <w:tcPr>
            <w:tcW w:w="1289" w:type="dxa"/>
          </w:tcPr>
          <w:p w14:paraId="3E0F9990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2.049 [1.115, 2.339]</w:t>
            </w:r>
          </w:p>
        </w:tc>
      </w:tr>
      <w:tr w:rsidR="0089521D" w14:paraId="0E194A11" w14:textId="77777777" w:rsidTr="00275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7A27E94D" w14:textId="77777777" w:rsidR="0089521D" w:rsidRDefault="00000000">
            <w:r>
              <w:t>Gradient Boosting</w:t>
            </w:r>
          </w:p>
        </w:tc>
        <w:tc>
          <w:tcPr>
            <w:tcW w:w="1289" w:type="dxa"/>
          </w:tcPr>
          <w:p w14:paraId="682E1998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0.755 ± 0.150</w:t>
            </w:r>
          </w:p>
        </w:tc>
        <w:tc>
          <w:tcPr>
            <w:tcW w:w="1289" w:type="dxa"/>
          </w:tcPr>
          <w:p w14:paraId="4B98C857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0.778 [0.641, 0.854]</w:t>
            </w:r>
          </w:p>
        </w:tc>
        <w:tc>
          <w:tcPr>
            <w:tcW w:w="1289" w:type="dxa"/>
          </w:tcPr>
          <w:p w14:paraId="3F4A8F91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3.339 ± 1.605</w:t>
            </w:r>
          </w:p>
        </w:tc>
        <w:tc>
          <w:tcPr>
            <w:tcW w:w="1289" w:type="dxa"/>
          </w:tcPr>
          <w:p w14:paraId="2A727EFA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3.554 [2.218, 3.877]</w:t>
            </w:r>
          </w:p>
        </w:tc>
        <w:tc>
          <w:tcPr>
            <w:tcW w:w="1289" w:type="dxa"/>
          </w:tcPr>
          <w:p w14:paraId="057DF35F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1.642 ± 0.648</w:t>
            </w:r>
          </w:p>
        </w:tc>
        <w:tc>
          <w:tcPr>
            <w:tcW w:w="1289" w:type="dxa"/>
          </w:tcPr>
          <w:p w14:paraId="4BEE3FFA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1.648 [1.238, 2.026]</w:t>
            </w:r>
          </w:p>
        </w:tc>
      </w:tr>
      <w:tr w:rsidR="0089521D" w14:paraId="70BC5643" w14:textId="77777777" w:rsidTr="00275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7B3B2565" w14:textId="77777777" w:rsidR="0089521D" w:rsidRDefault="00000000">
            <w:proofErr w:type="spellStart"/>
            <w:r>
              <w:lastRenderedPageBreak/>
              <w:t>XGBoost</w:t>
            </w:r>
            <w:proofErr w:type="spellEnd"/>
          </w:p>
        </w:tc>
        <w:tc>
          <w:tcPr>
            <w:tcW w:w="1289" w:type="dxa"/>
          </w:tcPr>
          <w:p w14:paraId="27168EE0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0.747 ± 0.215</w:t>
            </w:r>
          </w:p>
        </w:tc>
        <w:tc>
          <w:tcPr>
            <w:tcW w:w="1289" w:type="dxa"/>
          </w:tcPr>
          <w:p w14:paraId="2773F288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0.825 [0.604, 0.898]</w:t>
            </w:r>
          </w:p>
        </w:tc>
        <w:tc>
          <w:tcPr>
            <w:tcW w:w="1289" w:type="dxa"/>
          </w:tcPr>
          <w:p w14:paraId="262C0601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3.306 ± 1.958</w:t>
            </w:r>
          </w:p>
        </w:tc>
        <w:tc>
          <w:tcPr>
            <w:tcW w:w="1289" w:type="dxa"/>
          </w:tcPr>
          <w:p w14:paraId="01EF097E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3.048 [1.779, 4.063]</w:t>
            </w:r>
          </w:p>
        </w:tc>
        <w:tc>
          <w:tcPr>
            <w:tcW w:w="1289" w:type="dxa"/>
          </w:tcPr>
          <w:p w14:paraId="4A4BD1EF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1.733 ± 0.912</w:t>
            </w:r>
          </w:p>
        </w:tc>
        <w:tc>
          <w:tcPr>
            <w:tcW w:w="1289" w:type="dxa"/>
          </w:tcPr>
          <w:p w14:paraId="59C18947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1.687 [1.118, 1.993]</w:t>
            </w:r>
          </w:p>
        </w:tc>
      </w:tr>
      <w:tr w:rsidR="0089521D" w14:paraId="0347150F" w14:textId="77777777" w:rsidTr="00275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044630A5" w14:textId="77777777" w:rsidR="0089521D" w:rsidRDefault="00000000">
            <w:r>
              <w:t>Random Forest</w:t>
            </w:r>
          </w:p>
        </w:tc>
        <w:tc>
          <w:tcPr>
            <w:tcW w:w="1289" w:type="dxa"/>
          </w:tcPr>
          <w:p w14:paraId="13C4D76D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0.745 ± 0.158</w:t>
            </w:r>
          </w:p>
        </w:tc>
        <w:tc>
          <w:tcPr>
            <w:tcW w:w="1289" w:type="dxa"/>
          </w:tcPr>
          <w:p w14:paraId="01892DE5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0.688 [0.631, 0.888]</w:t>
            </w:r>
          </w:p>
        </w:tc>
        <w:tc>
          <w:tcPr>
            <w:tcW w:w="1289" w:type="dxa"/>
          </w:tcPr>
          <w:p w14:paraId="06B24DA3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3.520 ± 1.793</w:t>
            </w:r>
          </w:p>
        </w:tc>
        <w:tc>
          <w:tcPr>
            <w:tcW w:w="1289" w:type="dxa"/>
          </w:tcPr>
          <w:p w14:paraId="01591679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3.013 [2.430, 3.821]</w:t>
            </w:r>
          </w:p>
        </w:tc>
        <w:tc>
          <w:tcPr>
            <w:tcW w:w="1289" w:type="dxa"/>
          </w:tcPr>
          <w:p w14:paraId="51BFDE09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1.885 ± 0.778</w:t>
            </w:r>
          </w:p>
        </w:tc>
        <w:tc>
          <w:tcPr>
            <w:tcW w:w="1289" w:type="dxa"/>
          </w:tcPr>
          <w:p w14:paraId="48B5D8B3" w14:textId="77777777" w:rsidR="0089521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1.802 [1.460, 2.050]</w:t>
            </w:r>
          </w:p>
        </w:tc>
      </w:tr>
      <w:tr w:rsidR="0089521D" w14:paraId="762318F9" w14:textId="77777777" w:rsidTr="00275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58FFA59B" w14:textId="77777777" w:rsidR="0089521D" w:rsidRDefault="00000000">
            <w:r>
              <w:t>SVR</w:t>
            </w:r>
          </w:p>
        </w:tc>
        <w:tc>
          <w:tcPr>
            <w:tcW w:w="1289" w:type="dxa"/>
          </w:tcPr>
          <w:p w14:paraId="62811E40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0.441 ± 0.630</w:t>
            </w:r>
          </w:p>
        </w:tc>
        <w:tc>
          <w:tcPr>
            <w:tcW w:w="1289" w:type="dxa"/>
          </w:tcPr>
          <w:p w14:paraId="0E726029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0.650 [0.469, 0.747]</w:t>
            </w:r>
          </w:p>
        </w:tc>
        <w:tc>
          <w:tcPr>
            <w:tcW w:w="1289" w:type="dxa"/>
          </w:tcPr>
          <w:p w14:paraId="54DFAF61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5.216 ± 2.845</w:t>
            </w:r>
          </w:p>
        </w:tc>
        <w:tc>
          <w:tcPr>
            <w:tcW w:w="1289" w:type="dxa"/>
          </w:tcPr>
          <w:p w14:paraId="2457F5B4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4.734 [3.231, 8.040]</w:t>
            </w:r>
          </w:p>
        </w:tc>
        <w:tc>
          <w:tcPr>
            <w:tcW w:w="1289" w:type="dxa"/>
          </w:tcPr>
          <w:p w14:paraId="5D79CF95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2.375 ± 1.208</w:t>
            </w:r>
          </w:p>
        </w:tc>
        <w:tc>
          <w:tcPr>
            <w:tcW w:w="1289" w:type="dxa"/>
          </w:tcPr>
          <w:p w14:paraId="251D7520" w14:textId="77777777" w:rsidR="0089521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1.900 [1.688, 3.245]</w:t>
            </w:r>
          </w:p>
        </w:tc>
      </w:tr>
    </w:tbl>
    <w:p w14:paraId="3B820C2E" w14:textId="77777777" w:rsidR="0089521D" w:rsidRDefault="00000000">
      <w:r w:rsidRPr="00C553F2">
        <w:rPr>
          <w:b/>
          <w:bCs/>
        </w:rPr>
        <w:t>Notes:</w:t>
      </w:r>
      <w:r>
        <w:t xml:space="preserve"> Metrics are computed for </w:t>
      </w:r>
      <w:proofErr w:type="spellStart"/>
      <w:r>
        <w:t>ΔSref</w:t>
      </w:r>
      <w:proofErr w:type="spellEnd"/>
      <w:r>
        <w:t xml:space="preserve"> prediction. Mean ± SD uses sample standard deviation (</w:t>
      </w:r>
      <w:proofErr w:type="spellStart"/>
      <w:r>
        <w:t>ddof</w:t>
      </w:r>
      <w:proofErr w:type="spellEnd"/>
      <w:r>
        <w:t xml:space="preserve"> = 1) across 10 outer folds. Median [Q1, Q3] denotes the 50th, 25th, and 75th percentiles, respectively. RMSE and MAE are in J kg⁻¹ K⁻¹. For </w:t>
      </w:r>
      <w:proofErr w:type="spellStart"/>
      <w:r>
        <w:t>LightGBM</w:t>
      </w:r>
      <w:proofErr w:type="spellEnd"/>
      <w:r>
        <w:t xml:space="preserve">, the higher median R² (0.873) relative to mean (0.801) reflects an asymmetric fold distribution: a small number of challenging outer folds pull the mean downward, while </w:t>
      </w:r>
      <w:proofErr w:type="gramStart"/>
      <w:r>
        <w:t>the majority of</w:t>
      </w:r>
      <w:proofErr w:type="gramEnd"/>
      <w:r>
        <w:t xml:space="preserve"> folds achieve consistently high performance [Q1, Q3] = [0.842, 0.892] (IQR = 0.050). For SVR, the large SD (0.630) and mean–median discrepancy </w:t>
      </w:r>
      <w:proofErr w:type="gramStart"/>
      <w:r>
        <w:t>indicate</w:t>
      </w:r>
      <w:proofErr w:type="gramEnd"/>
      <w:r>
        <w:t xml:space="preserve"> fold-level collapse in some splits, consistent with the model’s known sensitivity to the hyperparameter scale in small, heterogeneous datasets.</w:t>
      </w:r>
    </w:p>
    <w:p w14:paraId="071A2724" w14:textId="77777777" w:rsidR="0089521D" w:rsidRDefault="00000000">
      <w:pPr>
        <w:pBdr>
          <w:bottom w:val="single" w:sz="6" w:space="1" w:color="2E75B6"/>
        </w:pBdr>
        <w:spacing w:before="400" w:after="160"/>
      </w:pPr>
      <w:r>
        <w:rPr>
          <w:b/>
          <w:bCs/>
          <w:sz w:val="24"/>
          <w:szCs w:val="24"/>
        </w:rPr>
        <w:t>Notes on Software and Reproducibility</w:t>
      </w:r>
    </w:p>
    <w:p w14:paraId="115C4F2C" w14:textId="77777777" w:rsidR="0089521D" w:rsidRDefault="00000000">
      <w:pPr>
        <w:spacing w:after="160"/>
      </w:pPr>
      <w:r>
        <w:t xml:space="preserve">All analyses were performed in Python 3 using NumPy, Pandas, Scikit-learn, </w:t>
      </w:r>
      <w:proofErr w:type="spellStart"/>
      <w:r>
        <w:t>LightGBM</w:t>
      </w:r>
      <w:proofErr w:type="spellEnd"/>
      <w:r>
        <w:t>, and Matplotlib. The complete code, including the fixed-effects n estimation, cluster-bootstrap confidence intervals, n-scan grid search, and nested cross-validation pipeline, is available at:</w:t>
      </w:r>
    </w:p>
    <w:p w14:paraId="1D55FC37" w14:textId="77777777" w:rsidR="0089521D" w:rsidRDefault="00000000">
      <w:pPr>
        <w:spacing w:after="120"/>
        <w:jc w:val="center"/>
      </w:pPr>
      <w:r>
        <w:rPr>
          <w:color w:val="0563C1"/>
        </w:rPr>
        <w:t>https://github.com/kaansarlar/Machine-learning-screening-of-magnetocaloric-high-entropy-alloys-using-a-field-normalized-Sref-targ</w:t>
      </w:r>
    </w:p>
    <w:p w14:paraId="06B98A6C" w14:textId="5EC984F5" w:rsidR="0089521D" w:rsidRDefault="00002B1A" w:rsidP="00002B1A">
      <w:pPr>
        <w:spacing w:after="80"/>
        <w:jc w:val="both"/>
      </w:pPr>
      <w:r>
        <w:t xml:space="preserve">The compiled dataset (199 compositions with chemical formulas, applied fields, reported ΔSM values, and literature sources) is provided as a Word file (Composition.docx) in the same GitHub repository. The model-ready, composition-only feature matrix used for nested cross-validation, together with the field-normalized target </w:t>
      </w:r>
      <w:proofErr w:type="spellStart"/>
      <w:r>
        <w:t>ΔSref</w:t>
      </w:r>
      <w:proofErr w:type="spellEnd"/>
      <w:r>
        <w:t>, is provided as COMPO_ONLY_model_ready_with_dSref_n0913.csv.</w:t>
      </w:r>
    </w:p>
    <w:sectPr w:rsidR="008952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D13E7"/>
    <w:multiLevelType w:val="hybridMultilevel"/>
    <w:tmpl w:val="78E21814"/>
    <w:lvl w:ilvl="0" w:tplc="02F260D2">
      <w:start w:val="1"/>
      <w:numFmt w:val="bullet"/>
      <w:lvlText w:val="●"/>
      <w:lvlJc w:val="left"/>
      <w:pPr>
        <w:ind w:left="720" w:hanging="360"/>
      </w:pPr>
    </w:lvl>
    <w:lvl w:ilvl="1" w:tplc="DD78C778">
      <w:start w:val="1"/>
      <w:numFmt w:val="bullet"/>
      <w:lvlText w:val="○"/>
      <w:lvlJc w:val="left"/>
      <w:pPr>
        <w:ind w:left="1440" w:hanging="360"/>
      </w:pPr>
    </w:lvl>
    <w:lvl w:ilvl="2" w:tplc="B89EF2DE">
      <w:start w:val="1"/>
      <w:numFmt w:val="bullet"/>
      <w:lvlText w:val="■"/>
      <w:lvlJc w:val="left"/>
      <w:pPr>
        <w:ind w:left="2160" w:hanging="360"/>
      </w:pPr>
    </w:lvl>
    <w:lvl w:ilvl="3" w:tplc="D688A604">
      <w:start w:val="1"/>
      <w:numFmt w:val="bullet"/>
      <w:lvlText w:val="●"/>
      <w:lvlJc w:val="left"/>
      <w:pPr>
        <w:ind w:left="2880" w:hanging="360"/>
      </w:pPr>
    </w:lvl>
    <w:lvl w:ilvl="4" w:tplc="4FE6A1C6">
      <w:start w:val="1"/>
      <w:numFmt w:val="bullet"/>
      <w:lvlText w:val="○"/>
      <w:lvlJc w:val="left"/>
      <w:pPr>
        <w:ind w:left="3600" w:hanging="360"/>
      </w:pPr>
    </w:lvl>
    <w:lvl w:ilvl="5" w:tplc="B232CD32">
      <w:start w:val="1"/>
      <w:numFmt w:val="bullet"/>
      <w:lvlText w:val="■"/>
      <w:lvlJc w:val="left"/>
      <w:pPr>
        <w:ind w:left="4320" w:hanging="360"/>
      </w:pPr>
    </w:lvl>
    <w:lvl w:ilvl="6" w:tplc="72189B2A">
      <w:start w:val="1"/>
      <w:numFmt w:val="bullet"/>
      <w:lvlText w:val="●"/>
      <w:lvlJc w:val="left"/>
      <w:pPr>
        <w:ind w:left="5040" w:hanging="360"/>
      </w:pPr>
    </w:lvl>
    <w:lvl w:ilvl="7" w:tplc="2730A24E">
      <w:start w:val="1"/>
      <w:numFmt w:val="bullet"/>
      <w:lvlText w:val="●"/>
      <w:lvlJc w:val="left"/>
      <w:pPr>
        <w:ind w:left="5760" w:hanging="360"/>
      </w:pPr>
    </w:lvl>
    <w:lvl w:ilvl="8" w:tplc="10B2F5CC">
      <w:start w:val="1"/>
      <w:numFmt w:val="bullet"/>
      <w:lvlText w:val="●"/>
      <w:lvlJc w:val="left"/>
      <w:pPr>
        <w:ind w:left="6480" w:hanging="360"/>
      </w:pPr>
    </w:lvl>
  </w:abstractNum>
  <w:num w:numId="1" w16cid:durableId="1646080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1D"/>
    <w:rsid w:val="00002B1A"/>
    <w:rsid w:val="001911E1"/>
    <w:rsid w:val="002752E2"/>
    <w:rsid w:val="00435491"/>
    <w:rsid w:val="0089521D"/>
    <w:rsid w:val="00C553F2"/>
    <w:rsid w:val="00E164A7"/>
    <w:rsid w:val="00E2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D51A"/>
  <w15:docId w15:val="{7583DFE3-7327-492B-9FEB-BA15C28F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2752E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1270</Words>
  <Characters>7281</Characters>
  <Application>Microsoft Office Word</Application>
  <DocSecurity>0</DocSecurity>
  <Lines>251</Lines>
  <Paragraphs>123</Paragraphs>
  <ScaleCrop>false</ScaleCrop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KAĞAN ŞARLAR</cp:lastModifiedBy>
  <cp:revision>6</cp:revision>
  <dcterms:created xsi:type="dcterms:W3CDTF">2026-02-24T11:27:00Z</dcterms:created>
  <dcterms:modified xsi:type="dcterms:W3CDTF">2026-03-09T13:09:00Z</dcterms:modified>
</cp:coreProperties>
</file>