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FBC3F" w14:textId="0945A552" w:rsidR="00AD221D" w:rsidRPr="00AD221D" w:rsidRDefault="00CE7868" w:rsidP="00AD221D">
      <w:pPr>
        <w:pStyle w:val="GvdeMetni"/>
        <w:spacing w:before="38"/>
        <w:ind w:left="114"/>
        <w:jc w:val="center"/>
      </w:pPr>
      <w:r w:rsidRPr="00AD221D">
        <w:rPr>
          <w:noProof/>
          <w:lang w:val="tr-TR" w:eastAsia="tr-TR"/>
        </w:rPr>
        <w:drawing>
          <wp:anchor distT="0" distB="0" distL="0" distR="0" simplePos="0" relativeHeight="251657728" behindDoc="1" locked="0" layoutInCell="1" allowOverlap="1" wp14:anchorId="70AC5008" wp14:editId="24FE545F">
            <wp:simplePos x="0" y="0"/>
            <wp:positionH relativeFrom="page">
              <wp:posOffset>6534150</wp:posOffset>
            </wp:positionH>
            <wp:positionV relativeFrom="paragraph">
              <wp:posOffset>-95250</wp:posOffset>
            </wp:positionV>
            <wp:extent cx="542018" cy="813027"/>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018" cy="813027"/>
                    </a:xfrm>
                    <a:prstGeom prst="rect">
                      <a:avLst/>
                    </a:prstGeom>
                  </pic:spPr>
                </pic:pic>
              </a:graphicData>
            </a:graphic>
            <wp14:sizeRelH relativeFrom="margin">
              <wp14:pctWidth>0</wp14:pctWidth>
            </wp14:sizeRelH>
            <wp14:sizeRelV relativeFrom="margin">
              <wp14:pctHeight>0</wp14:pctHeight>
            </wp14:sizeRelV>
          </wp:anchor>
        </w:drawing>
      </w:r>
      <w:r w:rsidR="00B00458" w:rsidRPr="00B00458">
        <w:t xml:space="preserve"> </w:t>
      </w:r>
      <w:r w:rsidR="00B4623D" w:rsidRPr="00B4623D">
        <w:rPr>
          <w:noProof/>
          <w:lang w:val="tr-TR" w:eastAsia="tr-TR"/>
        </w:rPr>
        <w:t xml:space="preserve">Sakarya University Journal of Science </w:t>
      </w:r>
      <w:r w:rsidR="00AD221D" w:rsidRPr="00AD221D">
        <w:rPr>
          <w:noProof/>
          <w:lang w:val="tr-TR" w:eastAsia="tr-TR"/>
        </w:rPr>
        <w:t>(</w:t>
      </w:r>
      <w:r w:rsidR="00B4623D">
        <w:rPr>
          <w:color w:val="1C1917"/>
          <w:shd w:val="clear" w:color="auto" w:fill="F7FDFA"/>
        </w:rPr>
        <w:t>SAUJS</w:t>
      </w:r>
      <w:r w:rsidR="00AD221D" w:rsidRPr="00AD221D">
        <w:rPr>
          <w:color w:val="1C1917"/>
          <w:shd w:val="clear" w:color="auto" w:fill="F7FDFA"/>
        </w:rPr>
        <w:t>)</w:t>
      </w:r>
    </w:p>
    <w:p w14:paraId="64BF7792" w14:textId="20B582DF" w:rsidR="001728B9" w:rsidRPr="00AD221D" w:rsidRDefault="001728B9" w:rsidP="00AD221D">
      <w:pPr>
        <w:tabs>
          <w:tab w:val="left" w:pos="9261"/>
        </w:tabs>
        <w:spacing w:before="68" w:line="355" w:lineRule="exact"/>
        <w:rPr>
          <w:szCs w:val="20"/>
        </w:rPr>
        <w:sectPr w:rsidR="001728B9" w:rsidRPr="00AD221D" w:rsidSect="00DD2529">
          <w:footerReference w:type="default" r:id="rId9"/>
          <w:headerReference w:type="default" r:id="rId17"/>
          <w:headerReference w:type="even" r:id="rId18"/>
          <w:footerReference w:type="even" r:id="rId19"/>
          <w:type w:val="continuous"/>
          <w:pgSz w:w="11910" w:h="16840"/>
          <w:pgMar w:top="540" w:right="566" w:bottom="280" w:left="566" w:header="0" w:footer="0" w:gutter="0"/>
          <w:pgNumType w:start="67"/>
          <w:cols w:space="708"/>
          <w:titlePg/>
          <w:docGrid w:linePitch="299"/>
        </w:sectPr>
      </w:pPr>
    </w:p>
    <w:p w14:paraId="14E84EC3" w14:textId="05C42775" w:rsidR="001728B9" w:rsidRPr="00183A6E" w:rsidRDefault="001728B9" w:rsidP="00AD221D">
      <w:pPr>
        <w:spacing w:before="76"/>
        <w:ind w:right="130"/>
        <w:rPr>
          <w:sz w:val="16"/>
          <w:szCs w:val="28"/>
        </w:rPr>
      </w:pPr>
    </w:p>
    <w:p w14:paraId="2F225786" w14:textId="77777777" w:rsidR="001728B9" w:rsidRDefault="001728B9" w:rsidP="00AD221D">
      <w:pPr>
        <w:rPr>
          <w:sz w:val="12"/>
        </w:rPr>
        <w:sectPr w:rsidR="001728B9">
          <w:type w:val="continuous"/>
          <w:pgSz w:w="11910" w:h="16840"/>
          <w:pgMar w:top="540" w:right="566" w:bottom="280" w:left="566" w:header="0" w:footer="0" w:gutter="0"/>
          <w:cols w:num="2" w:space="708" w:equalWidth="0">
            <w:col w:w="9015" w:space="40"/>
            <w:col w:w="1723"/>
          </w:cols>
        </w:sectPr>
      </w:pPr>
    </w:p>
    <w:p w14:paraId="53846A7F" w14:textId="591B4C75" w:rsidR="001728B9" w:rsidRPr="00AD221D" w:rsidRDefault="00AD221D" w:rsidP="00AD221D">
      <w:pPr>
        <w:spacing w:before="76"/>
        <w:ind w:right="130" w:firstLine="92"/>
        <w:rPr>
          <w:sz w:val="24"/>
          <w:szCs w:val="24"/>
        </w:rPr>
      </w:pPr>
      <w:r w:rsidRPr="00AD221D">
        <w:rPr>
          <w:color w:val="231F20"/>
          <w:sz w:val="24"/>
          <w:szCs w:val="24"/>
        </w:rPr>
        <w:t xml:space="preserve">e-ISSN: </w:t>
      </w:r>
      <w:r w:rsidR="00B4623D" w:rsidRPr="00B4623D">
        <w:rPr>
          <w:color w:val="231F20"/>
          <w:sz w:val="24"/>
          <w:szCs w:val="24"/>
        </w:rPr>
        <w:t>2147-835X</w:t>
      </w:r>
    </w:p>
    <w:p w14:paraId="4C3C1264" w14:textId="49A64FAC" w:rsidR="00183A6E" w:rsidRPr="00AD221D" w:rsidRDefault="00AD221D" w:rsidP="00AD221D">
      <w:pPr>
        <w:pStyle w:val="GvdeMetni"/>
        <w:spacing w:before="6"/>
        <w:ind w:firstLine="92"/>
        <w:jc w:val="left"/>
      </w:pPr>
      <w:r/>
    </w:p>
    <w:p w14:paraId="3A67CC46" w14:textId="77777777" w:rsidR="00183A6E" w:rsidRPr="00183A6E" w:rsidRDefault="00183A6E">
      <w:pPr>
        <w:pStyle w:val="GvdeMetni"/>
        <w:spacing w:before="6"/>
        <w:jc w:val="left"/>
        <w:rPr>
          <w:sz w:val="6"/>
          <w:szCs w:val="14"/>
        </w:rPr>
      </w:pPr>
    </w:p>
    <w:p w14:paraId="19F67A88" w14:textId="77777777" w:rsidR="001728B9" w:rsidRDefault="00F10D63">
      <w:pPr>
        <w:pStyle w:val="GvdeMetni"/>
        <w:spacing w:line="100" w:lineRule="exact"/>
        <w:ind w:left="92"/>
        <w:jc w:val="left"/>
        <w:rPr>
          <w:position w:val="-1"/>
          <w:sz w:val="10"/>
        </w:rPr>
      </w:pPr>
      <w:r w:rsidRPr="00F10D63">
        <w:rPr>
          <w:noProof/>
          <w:color w:val="168BC6"/>
          <w:position w:val="-1"/>
          <w:sz w:val="10"/>
          <w:lang w:val="tr-TR" w:eastAsia="tr-TR"/>
        </w:rPr>
        <mc:AlternateContent>
          <mc:Choice Requires="wpg">
            <w:drawing>
              <wp:inline distT="0" distB="0" distL="0" distR="0" wp14:anchorId="67493062" wp14:editId="7DD21FE0">
                <wp:extent cx="6696075" cy="80467"/>
                <wp:effectExtent l="0" t="0" r="28575" b="0"/>
                <wp:docPr id="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80467"/>
                          <a:chOff x="0" y="0"/>
                          <a:chExt cx="6696075" cy="63500"/>
                        </a:xfrm>
                      </wpg:grpSpPr>
                      <wps:wsp>
                        <wps:cNvPr id="27" name="Graphic 3"/>
                        <wps:cNvSpPr/>
                        <wps:spPr>
                          <a:xfrm>
                            <a:off x="0" y="5302"/>
                            <a:ext cx="6696075" cy="1270"/>
                          </a:xfrm>
                          <a:custGeom>
                            <a:avLst/>
                            <a:gdLst/>
                            <a:ahLst/>
                            <a:cxnLst/>
                            <a:rect l="l" t="t" r="r" b="b"/>
                            <a:pathLst>
                              <a:path w="6696075">
                                <a:moveTo>
                                  <a:pt x="0" y="0"/>
                                </a:moveTo>
                                <a:lnTo>
                                  <a:pt x="6695998" y="0"/>
                                </a:lnTo>
                              </a:path>
                            </a:pathLst>
                          </a:custGeom>
                          <a:ln w="10604">
                            <a:solidFill>
                              <a:srgbClr val="147FB4"/>
                            </a:solidFill>
                            <a:prstDash val="solid"/>
                          </a:ln>
                        </wps:spPr>
                        <wps:bodyPr wrap="square" lIns="0" tIns="0" rIns="0" bIns="0" rtlCol="0">
                          <a:prstTxWarp prst="textNoShape">
                            <a:avLst/>
                          </a:prstTxWarp>
                          <a:noAutofit/>
                        </wps:bodyPr>
                      </wps:wsp>
                      <wps:wsp>
                        <wps:cNvPr id="28" name="Graphic 4"/>
                        <wps:cNvSpPr/>
                        <wps:spPr>
                          <a:xfrm>
                            <a:off x="0" y="47625"/>
                            <a:ext cx="6696075" cy="1270"/>
                          </a:xfrm>
                          <a:custGeom>
                            <a:avLst/>
                            <a:gdLst/>
                            <a:ahLst/>
                            <a:cxnLst/>
                            <a:rect l="l" t="t" r="r" b="b"/>
                            <a:pathLst>
                              <a:path w="6696075">
                                <a:moveTo>
                                  <a:pt x="0" y="0"/>
                                </a:moveTo>
                                <a:lnTo>
                                  <a:pt x="6695998" y="0"/>
                                </a:lnTo>
                              </a:path>
                            </a:pathLst>
                          </a:custGeom>
                          <a:ln w="31750">
                            <a:solidFill>
                              <a:srgbClr val="147FB4"/>
                            </a:solidFill>
                            <a:prstDash val="solid"/>
                          </a:ln>
                        </wps:spPr>
                        <wps:bodyPr wrap="square" lIns="0" tIns="0" rIns="0" bIns="0" rtlCol="0">
                          <a:prstTxWarp prst="textNoShape">
                            <a:avLst/>
                          </a:prstTxWarp>
                          <a:noAutofit/>
                        </wps:bodyPr>
                      </wps:wsp>
                    </wpg:wgp>
                  </a:graphicData>
                </a:graphic>
              </wp:inline>
            </w:drawing>
          </mc:Choice>
          <mc:Fallback>
            <w:pict>
              <v:group w14:anchorId="6DB3B638" id="Group 2" o:spid="_x0000_s1026" style="width:527.25pt;height:6.35pt;mso-position-horizontal-relative:char;mso-position-vertical-relative:line" coordsize="6696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">
                <v:shape id="Graphic 3" o:spid="_x0000_s1027" style="position:absolute;top:53;width:66960;height:12;visibility:visible;mso-wrap-style:square;v-text-anchor:top" coordsize="669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" path="m,l6695998,e" filled="f" strokecolor="#147fb4" strokeweight=".29456mm">
                  <v:path arrowok="t"/>
                </v:shape>
                <v:shape id="Graphic 4" o:spid="_x0000_s1028" style="position:absolute;top:476;width:66960;height:12;visibility:visible;mso-wrap-style:square;v-text-anchor:top" coordsize="669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" path="m,l6695998,e" filled="f" strokecolor="#147fb4" strokeweight="2.5pt">
                  <v:path arrowok="t"/>
                </v:shape>
                <w10:anchorlock/>
              </v:group>
            </w:pict>
          </mc:Fallback>
        </mc:AlternateContent>
      </w:r>
    </w:p>
    <w:p w14:paraId="1FC77891" w14:textId="77777777" w:rsidR="007805CE" w:rsidRPr="00CE6B1C" w:rsidRDefault="00F10D63" w:rsidP="00F10D63">
      <w:pPr>
        <w:pStyle w:val="KonuBal"/>
        <w:spacing w:line="249" w:lineRule="auto"/>
        <w:ind w:left="0" w:firstLine="0"/>
        <w:jc w:val="center"/>
        <w:rPr>
          <w:sz w:val="22"/>
          <w:szCs w:val="22"/>
        </w:rPr>
      </w:pPr>
      <w:r w:rsidRPr="00CE6B1C">
        <w:rPr>
          <w:sz w:val="22"/>
          <w:szCs w:val="22"/>
        </w:rPr>
        <w:t>Research Article</w:t>
      </w:r>
    </w:p>
    <w:p w14:paraId="42691F41" w14:textId="7CF08F47" w:rsidR="00F10D63" w:rsidRPr="00CE6B1C" w:rsidRDefault="00F10D63" w:rsidP="00F10D63">
      <w:pPr>
        <w:pStyle w:val="KonuBal"/>
        <w:spacing w:line="249" w:lineRule="auto"/>
        <w:ind w:left="426" w:firstLine="0"/>
        <w:jc w:val="center"/>
        <w:rPr>
          <w:color w:val="168BC6"/>
          <w:sz w:val="32"/>
          <w:szCs w:val="32"/>
        </w:rPr>
      </w:pPr>
    </w:p>
    <w:p w14:paraId="2C12BDDE" w14:textId="0DDDB39D" w:rsidR="00F10D63" w:rsidRDefault="00183A6E" w:rsidP="00183A6E">
      <w:pPr>
        <w:pStyle w:val="KonuBal"/>
        <w:spacing w:line="249" w:lineRule="auto"/>
        <w:ind w:left="0" w:firstLine="0"/>
        <w:jc w:val="center"/>
        <w:rPr>
          <w:color w:val="2593B7"/>
          <w:sz w:val="32"/>
          <w:szCs w:val="32"/>
        </w:rPr>
      </w:pPr>
      <w:r>
        <w:rPr>
          <w:rFonts w:ascii="Times New Roman" w:hAnsi="Times New Roman"/>
          <w:b/>
          <w:color w:val="000000"/>
          <w:sz w:val="32"/>
        </w:rPr>
        <w:t>Composition Based Estimation of Curie Temperature in Gd Containing RE Co Al Metallic Glasses</w:t>
      </w:r>
    </w:p>
    <w:p w14:paraId="739B10FA" w14:textId="632D73F7" w:rsidR="00F10D63" w:rsidRDefault="00F10D63">
      <w:pPr>
        <w:pStyle w:val="GvdeMetni"/>
        <w:spacing w:before="175"/>
        <w:jc w:val="left"/>
        <w:rPr>
          <w:i/>
        </w:rPr>
      </w:pPr>
    </w:p>
    <w:p w14:paraId="1EE74EE4" w14:textId="7007F13A" w:rsidR="00BA18E2" w:rsidRDefault="00BA18E2">
      <w:pPr>
        <w:ind w:left="117"/>
        <w:rPr>
          <w:b/>
          <w:spacing w:val="-2"/>
        </w:rPr>
      </w:pPr>
      <w:r w:rsidRPr="00BA18E2">
        <w:rPr>
          <w:b/>
          <w:noProof/>
          <w:lang w:val="tr-TR" w:eastAsia="tr-TR"/>
        </w:rPr>
        <mc:AlternateContent>
          <mc:Choice Requires="wps">
            <w:drawing>
              <wp:anchor distT="0" distB="0" distL="0" distR="0" simplePos="0" relativeHeight="251658752" behindDoc="1" locked="0" layoutInCell="1" allowOverlap="1" wp14:anchorId="61AFEDE8" wp14:editId="28404AED">
                <wp:simplePos x="0" y="0"/>
                <wp:positionH relativeFrom="page">
                  <wp:posOffset>431321</wp:posOffset>
                </wp:positionH>
                <wp:positionV relativeFrom="paragraph">
                  <wp:posOffset>78381</wp:posOffset>
                </wp:positionV>
                <wp:extent cx="6696075" cy="4166558"/>
                <wp:effectExtent l="0" t="0" r="9525" b="571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166558"/>
                        </a:xfrm>
                        <a:custGeom>
                          <a:avLst/>
                          <a:gdLst/>
                          <a:ahLst/>
                          <a:cxnLst/>
                          <a:rect l="l" t="t" r="r" b="b"/>
                          <a:pathLst>
                            <a:path w="6696075" h="5628640">
                              <a:moveTo>
                                <a:pt x="6695998" y="0"/>
                              </a:moveTo>
                              <a:lnTo>
                                <a:pt x="0" y="0"/>
                              </a:lnTo>
                              <a:lnTo>
                                <a:pt x="0" y="5628157"/>
                              </a:lnTo>
                              <a:lnTo>
                                <a:pt x="6695998" y="5628157"/>
                              </a:lnTo>
                              <a:lnTo>
                                <a:pt x="6695998" y="0"/>
                              </a:lnTo>
                              <a:close/>
                            </a:path>
                          </a:pathLst>
                        </a:custGeom>
                        <a:solidFill>
                          <a:schemeClr val="tx1">
                            <a:lumMod val="95000"/>
                            <a:lumOff val="5000"/>
                            <a:alpha val="9804"/>
                          </a:scheme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8F306A5" id="Graphic 7" o:spid="_x0000_s1026" style="position:absolute;margin-left:33.95pt;margin-top:6.15pt;width:527.25pt;height:328.1pt;z-index:-2516577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696075,562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" path="m6695998,l,,,5628157r6695998,l6695998,xe" fillcolor="#0d0d0d [3069]" stroked="f">
                <v:fill opacity="6425f"/>
                <v:path arrowok="t"/>
                <w10:wrap anchorx="page"/>
              </v:shape>
            </w:pict>
          </mc:Fallback>
        </mc:AlternateContent>
      </w:r>
    </w:p>
    <w:p w14:paraId="2ACA5546" w14:textId="1D319ABE" w:rsidR="001728B9" w:rsidRDefault="00CE7868" w:rsidP="00183A6E">
      <w:pPr>
        <w:tabs>
          <w:tab w:val="left" w:pos="10490"/>
        </w:tabs>
        <w:ind w:left="284" w:right="288"/>
        <w:jc w:val="center"/>
        <w:rPr>
          <w:b/>
          <w:spacing w:val="-2"/>
        </w:rPr>
      </w:pPr>
      <w:r w:rsidRPr="00BA18E2">
        <w:rPr>
          <w:b/>
          <w:spacing w:val="-2"/>
        </w:rPr>
        <w:t>ABSTRACT</w:t>
      </w:r>
    </w:p>
    <w:p w14:paraId="492EC5D4" w14:textId="2268266A" w:rsidR="00216A34" w:rsidRPr="00C974D0" w:rsidRDefault="00216A34" w:rsidP="00BA18E2">
      <w:pPr>
        <w:tabs>
          <w:tab w:val="left" w:pos="10490"/>
        </w:tabs>
        <w:ind w:left="284" w:right="288"/>
        <w:rPr>
          <w:b/>
          <w:spacing w:val="-2"/>
        </w:rPr>
      </w:pPr>
    </w:p>
    <w:p w14:paraId="519E4A29" w14:textId="7553DB3D" w:rsidR="00AD221D" w:rsidRDefault="00B4623D" w:rsidP="00BA18E2">
      <w:pPr>
        <w:pStyle w:val="GvdeMetni"/>
        <w:tabs>
          <w:tab w:val="left" w:pos="10490"/>
        </w:tabs>
        <w:spacing w:line="278" w:lineRule="auto"/>
        <w:ind w:left="284" w:right="288"/>
        <w:rPr>
          <w:rFonts w:ascii="Cambria" w:eastAsia="Calibri" w:hAnsi="Cambria"/>
          <w:sz w:val="22"/>
          <w:szCs w:val="22"/>
        </w:rPr>
      </w:pPr>
      <w:r>
        <w:rPr>
          <w:rFonts w:ascii="Times New Roman" w:hAnsi="Times New Roman"/>
          <w:color w:val="000000"/>
          <w:sz w:val="22"/>
        </w:rPr>
        <w:t>Compact composition-based relations may assist the screening of rare-earth metallic glasses, provided that their validation scope is stated explicitly. This study compares an affine de Gennes–Co relation with a composition-dependent effective-scale relation for Gd-containing RE–Co–Al amorphous alloys. A primary dataset contains 15 records from six publications, and an expanded development dataset contains 28 records from 14 publications. Publication and identical-composition links define six and nine validation groups, respectively. Regularization and model-family selection are confined to inner grouped folds. On the primary dataset, the affine relation yields a mean absolute error of 1.85 K. On the expanded dataset, the fixed RE–Co model family yields 1.75 K, whereas the complete selection procedure yields 2.36 K and a maximum error of 11.76 K. Frozen coefficients are subsequently assessed on six additional Gd–Ho and Gd–Er compositions from one publication. The affine and effective-scale relations yield errors of 2.04 and 3.52 K, respectively; all six compositions lie outside the original joint composition support. A conservative author-link screen also shows that publication groups cannot be equated with independent laboratories. The results support restricted empirical estimation within this alloy family, while demonstrating that improved internal accuracy does not establish superior chemical transfer or a microscopic exchange mechanism.</w:t>
      </w:r>
    </w:p>
    <w:p w14:paraId="7DC7DCCC" w14:textId="77777777" w:rsidR="00216A34" w:rsidRPr="00BA18E2" w:rsidRDefault="00216A34" w:rsidP="00BA18E2">
      <w:pPr>
        <w:pStyle w:val="GvdeMetni"/>
        <w:tabs>
          <w:tab w:val="left" w:pos="10490"/>
        </w:tabs>
        <w:spacing w:before="41"/>
        <w:ind w:left="284" w:right="288"/>
        <w:jc w:val="left"/>
      </w:pPr>
    </w:p>
    <w:p w14:paraId="6A9BBFF8" w14:textId="3636D3A7" w:rsidR="001728B9" w:rsidRDefault="00CE7868" w:rsidP="00BA18E2">
      <w:pPr>
        <w:pStyle w:val="GvdeMetni"/>
        <w:tabs>
          <w:tab w:val="left" w:pos="10490"/>
        </w:tabs>
        <w:spacing w:before="1"/>
        <w:ind w:left="284" w:right="288"/>
        <w:rPr>
          <w:spacing w:val="-2"/>
          <w:sz w:val="22"/>
          <w:szCs w:val="22"/>
        </w:rPr>
      </w:pPr>
      <w:r>
        <w:rPr>
          <w:rFonts w:ascii="Times New Roman" w:hAnsi="Times New Roman"/>
          <w:color w:val="000000"/>
          <w:sz w:val="22"/>
        </w:rPr>
        <w:t>Keywords: Metallic glasses, Curie temperature, De Gennes factor, Composition dependence, Grouped validation</w:t>
      </w:r>
    </w:p>
    <w:p w14:paraId="2BF88F2A" w14:textId="0290CABD" w:rsidR="007805CE" w:rsidRPr="00DB39EC" w:rsidRDefault="00CE7868" w:rsidP="00F10D63">
      <w:pPr>
        <w:spacing w:before="640"/>
        <w:ind w:left="7"/>
        <w:jc w:val="center"/>
        <w:rPr>
          <w:iCs/>
          <w:sz w:val="16"/>
        </w:rPr>
      </w:pPr>
      <w:r>
        <w:t>Received:                                      Accepted:</w:t>
      </w:r>
    </w:p>
    <w:p w14:paraId="79991612" w14:textId="77777777" w:rsidR="007805CE" w:rsidRPr="00DB39EC" w:rsidRDefault="00F10D63">
      <w:pPr>
        <w:spacing w:line="249" w:lineRule="auto"/>
        <w:ind w:left="117" w:right="108"/>
        <w:rPr>
          <w:b/>
          <w:iCs/>
          <w:sz w:val="16"/>
        </w:rPr>
      </w:pPr>
      <w:r w:rsidRPr="00DB39EC">
        <w:rPr>
          <w:b/>
          <w:iCs/>
          <w:sz w:val="16"/>
        </w:rPr>
        <w:tab/>
      </w:r>
    </w:p>
    <w:p w14:paraId="00F0AC40" w14:textId="6B9E2071" w:rsidR="001728B9" w:rsidRPr="00DB39EC" w:rsidRDefault="00CE7868">
      <w:pPr>
        <w:spacing w:line="249" w:lineRule="auto"/>
        <w:ind w:left="117" w:right="108"/>
        <w:rPr>
          <w:iCs/>
          <w:sz w:val="16"/>
        </w:rPr>
      </w:pPr>
      <w:r/>
    </w:p>
    <w:p w14:paraId="2C0CC288" w14:textId="77777777" w:rsidR="001728B9" w:rsidRDefault="001728B9">
      <w:pPr>
        <w:pStyle w:val="GvdeMetni"/>
        <w:spacing w:before="16"/>
        <w:jc w:val="left"/>
        <w:rPr>
          <w:i/>
          <w:sz w:val="16"/>
        </w:rPr>
      </w:pPr>
    </w:p>
    <w:p w14:paraId="008FA67D" w14:textId="77777777" w:rsidR="001728B9" w:rsidRDefault="00CE7868" w:rsidP="00F10D63">
      <w:pPr>
        <w:tabs>
          <w:tab w:val="right" w:pos="10617"/>
        </w:tabs>
        <w:spacing w:before="203"/>
        <w:ind w:left="117"/>
        <w:jc w:val="both"/>
        <w:rPr>
          <w:sz w:val="24"/>
        </w:rPr>
        <w:sectPr w:rsidR="001728B9" w:rsidSect="00BA18E2">
          <w:type w:val="continuous"/>
          <w:pgSz w:w="11910" w:h="16840"/>
          <w:pgMar w:top="540" w:right="566" w:bottom="280" w:left="566" w:header="0" w:footer="488" w:gutter="0"/>
          <w:cols w:space="708"/>
        </w:sectPr>
      </w:pPr>
      <w:r w:rsidRPr="00BA18E2">
        <w:rPr>
          <w:noProof/>
          <w:color w:val="147FB4"/>
          <w:sz w:val="24"/>
          <w:lang w:val="tr-TR" w:eastAsia="tr-TR"/>
        </w:rPr>
        <mc:AlternateContent>
          <mc:Choice Requires="wps">
            <w:drawing>
              <wp:anchor distT="0" distB="0" distL="0" distR="0" simplePos="0" relativeHeight="251656704" behindDoc="0" locked="0" layoutInCell="1" allowOverlap="1" wp14:anchorId="7363E553" wp14:editId="25CFDE05">
                <wp:simplePos x="0" y="0"/>
                <wp:positionH relativeFrom="page">
                  <wp:posOffset>439115</wp:posOffset>
                </wp:positionH>
                <wp:positionV relativeFrom="paragraph">
                  <wp:posOffset>14428</wp:posOffset>
                </wp:positionV>
                <wp:extent cx="66960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270"/>
                        </a:xfrm>
                        <a:custGeom>
                          <a:avLst/>
                          <a:gdLst/>
                          <a:ahLst/>
                          <a:cxnLst/>
                          <a:rect l="l" t="t" r="r" b="b"/>
                          <a:pathLst>
                            <a:path w="6696075">
                              <a:moveTo>
                                <a:pt x="0" y="0"/>
                              </a:moveTo>
                              <a:lnTo>
                                <a:pt x="6695998" y="0"/>
                              </a:lnTo>
                            </a:path>
                          </a:pathLst>
                        </a:custGeom>
                        <a:ln w="25400">
                          <a:solidFill>
                            <a:srgbClr val="147FB4"/>
                          </a:solidFill>
                          <a:prstDash val="solid"/>
                        </a:ln>
                      </wps:spPr>
                      <wps:bodyPr wrap="square" lIns="0" tIns="0" rIns="0" bIns="0" rtlCol="0">
                        <a:prstTxWarp prst="textNoShape">
                          <a:avLst/>
                        </a:prstTxWarp>
                        <a:noAutofit/>
                      </wps:bodyPr>
                    </wps:wsp>
                  </a:graphicData>
                </a:graphic>
              </wp:anchor>
            </w:drawing>
          </mc:Choice>
          <mc:Fallback>
            <w:pict>
              <v:shape w14:anchorId="63E640F6" id="Graphic 11" o:spid="_x0000_s1026" style="position:absolute;margin-left:34.6pt;margin-top:1.15pt;width:527.2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669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" path="m,l6695998,e" filled="f" strokecolor="#147fb4" strokeweight="2pt">
                <v:path arrowok="t"/>
                <w10:wrap anchorx="page"/>
              </v:shape>
            </w:pict>
          </mc:Fallback>
        </mc:AlternateContent>
      </w:r>
    </w:p>
    <w:p>
      <w:pPr>
        <w:pStyle w:val="SectionTitle"/>
        <w:pageBreakBefore/>
      </w:pPr>
      <w:r>
        <w:rPr>
          <w:color w:val="000000"/>
        </w:rPr>
        <w:t>1. Introduction</w:t>
      </w:r>
    </w:p>
    <w:p>
      <w:pPr>
        <w:pStyle w:val="MainText"/>
        <w:widowControl/>
      </w:pPr>
      <w:r>
        <w:t>The Curie temperature sets the temperature scale over which a ferromagnetic alloy undergoes its magnetic transition. For magnetocaloric metallic glasses, changing the rare-earth mixture or the transition-metal content offers a practical route to shift this scale. The composition dependence must nevertheless be interpreted within a defined chemical and structural family. In Gd–Co–Al glasses, the Co/Al ratio is linked to both magnetic behavior and glass formation [1]. In Tb–Co ribbons, reported deviations from a simple linear composition dependence have been discussed in relation to orbital contributions and composition-dependent interactions [2]. Multicomponent RE–Co–Al glasses provide an additional degree of freedom through the rare-earth mixture [3].</w:t>
      </w:r>
    </w:p>
    <w:p>
      <w:pPr>
        <w:pStyle w:val="MainText"/>
        <w:widowControl/>
      </w:pPr>
      <w:r>
        <w:t>Heavy rare-earth substitution can tune the transition temperature over a broad low-temperature range. Zhang et al. examined Gd–Ho, Gd–Er, and Ho–Er substitutions in HRE55Al27.5Co17.5 metallic glasses and reported separate Curie and entropy-peak temperatures [4]. These systems motivate a compact representation that combines a rare-earth magnetic scale with the Co fraction. A low prediction error alone, however, does not establish that the fitted coefficients identify independent elemental effects. Alloy fractions sum to unity, and experimental datasets often vary several constituents together.</w:t>
      </w:r>
    </w:p>
    <w:p>
      <w:pPr>
        <w:pStyle w:val="MainText"/>
        <w:widowControl/>
      </w:pPr>
      <w:r>
        <w:t>Here, two empirical relations are compared for Gd-containing RE–Co–Al amorphous alloys. The first uses an affine combination of an alloy-weighted de Gennes factor and the Co fraction. The second multiplies the de Gennes factor by an effective temperature scale that depends on the RE mixture and Co fraction. The contribution is a restricted comparison of these representations, their complete model-selection behavior, and their transfer to additional compositions. Neither expression is proposed as a universal Curie-temperature law or as an independent calculation of microscopic exchange integrals. No new alloy synthesis, magnetic measurement, density-functional calculation, or Monte Carlo simulation is reported.</w:t>
      </w:r>
    </w:p>
    <w:p>
      <w:pPr>
        <w:pStyle w:val="MainText"/>
        <w:widowControl/>
      </w:pPr>
      <w:r>
        <w:t>Interpretable machine-learning studies also address Curie-temperature prediction in Fe-based amorphous alloys and magnetocaloric optimization in amorphous systems [19], [20]. Accordingly, using composition descriptors or interpretability is not by itself a novelty claim. The present analysis concerns a small, explicitly restricted rare-earth family and the difference between fixed-family accuracy and transfer under frozen coefficients.</w:t>
      </w:r>
    </w:p>
    <w:p>
      <w:pPr>
        <w:pStyle w:val="SectionTitle"/>
      </w:pPr>
      <w:r>
        <w:rPr>
          <w:color w:val="000000"/>
        </w:rPr>
        <w:t>2. Materials and Methods</w:t>
      </w:r>
    </w:p>
    <w:p>
      <w:pPr>
        <w:pStyle w:val="SubTitle"/>
      </w:pPr>
      <w:r>
        <w:rPr>
          <w:color w:val="000000"/>
        </w:rPr>
        <w:t>2.1. Data scope and target definition</w:t>
      </w:r>
    </w:p>
    <w:p>
      <w:pPr>
        <w:pStyle w:val="MainText"/>
        <w:widowControl/>
      </w:pPr>
      <w:r>
        <w:t>The primary development dataset contains 15 numeric observations from six publications. An expanded retrospective dataset contains 28 observations from 14 publications, representing 23 distinct nominal compositions. Published experimental values form the target; no model-generated temperatures are included as measured observations. The primary target range is 39–73 K and the expanded range is 37–104 K. These ranges describe the available data and are not used to clip predictions or select records by their measured temperature. The full record-to-publication mapping, source roles, and nominal compositions are retained in the accompanying data files [1], [3], [5]–[16].</w:t>
      </w:r>
    </w:p>
    <w:p>
      <w:pPr>
        <w:pStyle w:val="MainText"/>
        <w:widowControl/>
      </w:pPr>
      <w:r>
        <w:t>The chemical scope is Gd-containing RE–Co–Al alloys, where the represented RE/Y elements are Gd, Tb, Dy, Ho, Er, and Y; a small Si addition occurs in the underlying evidence. The relations do not predict whether a proposed alloy forms a glass. Phase characterization is an eligibility condition, not a numerical prediction feature. Fe- and Ni-containing substitutions, crystalline and nanocrystalline samples, and RE-free alloys are outside the intended application. Published Curie temperatures are kept distinct from Néel, freezing, compensation, Curie–Weiss, and magnetic-entropy-peak temperatures. Where the original target-extraction protocol is incompletely documented, the corresponding observation retains its evidence limitation.</w:t>
      </w:r>
    </w:p>
    <w:p>
      <w:pPr>
        <w:pStyle w:val="MainText"/>
        <w:widowControl/>
      </w:pPr>
      <w:r>
        <w:t>The expanded set reuses previously examined observations for development. Consequently, an earlier historical holdout label does not make a record an untouched external test after it enters this expanded fit. The six additional Gd–Ho/Gd–Er compositions used for frozen-coefficient checks remain outside coefficient fitting and regularization selection. Their literature values were examined retrospectively; they are not prospective blinded experiments.</w:t>
      </w:r>
    </w:p>
    <w:p>
      <w:pPr>
        <w:pStyle w:val="SubTitle"/>
      </w:pPr>
      <w:r>
        <w:rPr>
          <w:color w:val="000000"/>
        </w:rPr>
        <w:t>2.2. Descriptors and empirical relations</w:t>
      </w:r>
    </w:p>
    <w:p>
      <w:pPr>
        <w:pStyle w:val="MainText"/>
        <w:widowControl/>
      </w:pPr>
      <w:r>
        <w:t>All x values denote atomic fractions of the complete alloy. Thus, Co25 corresponds to xCo = 0.25. The RE fractions are not first renormalized within the rare-earth submixture when calculating D. With free-trivalent-ion de Gennes factors Gi, the descriptors are defined by Equations 1 and 2.</w:t>
      </w:r>
    </w:p>
    <w:p>
      <w:pPr>
        <w:tabs>
          <w:tab w:pos="4752" w:val="center"/>
          <w:tab w:pos="9576" w:val="right"/>
        </w:tabs>
        <w:spacing w:before="60" w:after="140"/>
      </w:pPr>
      <w:r>
        <w:tab/>
      </w:r>
      <m:oMath>
        <m:r>
          <m:t>D = Σᵢ </m:t>
        </m:r>
        <m:sSub>
          <m:e>
            <m:r>
              <m:t>x</m:t>
            </m:r>
          </m:e>
          <m:sub>
            <m:r>
              <m:t>i</m:t>
            </m:r>
          </m:sub>
        </m:sSub>
        <m:r>
          <m:t>Gᵢ,    </m:t>
        </m:r>
        <m:sSub>
          <m:e>
            <m:r>
              <m:t>f</m:t>
            </m:r>
          </m:e>
          <m:sub>
            <m:r>
              <m:t>RE</m:t>
            </m:r>
          </m:sub>
        </m:sSub>
        <m:r>
          <m:t> = Σᵢ </m:t>
        </m:r>
        <m:sSub>
          <m:e>
            <m:r>
              <m:t>x</m:t>
            </m:r>
          </m:e>
          <m:sub>
            <m:r>
              <m:t>i</m:t>
            </m:r>
          </m:sub>
        </m:sSub>
        <m:r>
          <m:t>,    i ∈ {Gd, Tb, Dy, Ho, Er, Y}</m:t>
        </m:r>
      </m:oMath>
      <w:r>
        <w:rPr>
          <w:rFonts w:ascii="Times New Roman" w:hAnsi="Times New Roman"/>
          <w:sz w:val="20"/>
        </w:rPr>
        <w:tab/>
        <w:t>(1)</w:t>
      </w:r>
    </w:p>
    <w:p>
      <w:pPr>
        <w:tabs>
          <w:tab w:pos="4752" w:val="center"/>
          <w:tab w:pos="9576" w:val="right"/>
        </w:tabs>
        <w:spacing w:before="60" w:after="140"/>
      </w:pPr>
      <w:r>
        <w:tab/>
      </w:r>
      <m:oMath>
        <m:r>
          <m:t>Ḡ = D / </m:t>
        </m:r>
        <m:sSub>
          <m:e>
            <m:r>
              <m:t>f</m:t>
            </m:r>
          </m:e>
          <m:sub>
            <m:r>
              <m:t>RE</m:t>
            </m:r>
          </m:sub>
        </m:sSub>
        <m:r>
          <m:t>,    </m:t>
        </m:r>
        <m:sSub>
          <m:e>
            <m:r>
              <m:t>G</m:t>
            </m:r>
          </m:e>
          <m:sub>
            <m:r>
              <m:t>i</m:t>
            </m:r>
          </m:sub>
        </m:sSub>
        <m:r>
          <m:t> = (</m:t>
        </m:r>
        <m:sSub>
          <m:e>
            <m:r>
              <m:t>g</m:t>
            </m:r>
          </m:e>
          <m:sub>
            <m:r>
              <m:t>i</m:t>
            </m:r>
          </m:sub>
        </m:sSub>
        <m:r>
          <m:t> − 1)² </m:t>
        </m:r>
        <m:sSub>
          <m:e>
            <m:r>
              <m:t>J</m:t>
            </m:r>
          </m:e>
          <m:sub>
            <m:r>
              <m:t>i</m:t>
            </m:r>
          </m:sub>
        </m:sSub>
        <m:r>
          <m:t> (</m:t>
        </m:r>
        <m:sSub>
          <m:e>
            <m:r>
              <m:t>J</m:t>
            </m:r>
          </m:e>
          <m:sub>
            <m:r>
              <m:t>i</m:t>
            </m:r>
          </m:sub>
        </m:sSub>
        <m:r>
          <m:t> + 1)</m:t>
        </m:r>
      </m:oMath>
      <w:r>
        <w:rPr>
          <w:rFonts w:ascii="Times New Roman" w:hAnsi="Times New Roman"/>
          <w:sz w:val="20"/>
        </w:rPr>
        <w:tab/>
        <w:t>(2)</w:t>
      </w:r>
    </w:p>
    <w:p>
      <w:pPr>
        <w:pStyle w:val="MainText"/>
        <w:widowControl/>
      </w:pPr>
      <w:r>
        <w:t>The adopted factors for Gd, Tb, Dy, Ho, Er, and Y are 15.75, 10.50, 85/12, 4.50, 2.55, and 0, respectively. Y contributes to fRE but not to D. These descriptors use an ionic-state assumption; they do not measure the alloy moment or its exchange constants. The definition requires fRE &gt; 0 and is therefore not extended to RE-free compositions.</w:t>
      </w:r>
    </w:p>
    <w:p>
      <w:pPr>
        <w:pStyle w:val="MainText"/>
        <w:widowControl/>
      </w:pPr>
      <w:r>
        <w:t>The affine relation fitted to the primary dataset is given in Equation 3. The coefficients shown here are rounded for presentation; full numerical precision is retained in the model files.</w:t>
      </w:r>
    </w:p>
    <w:p>
      <w:pPr>
        <w:tabs>
          <w:tab w:pos="4752" w:val="center"/>
          <w:tab w:pos="9576" w:val="right"/>
        </w:tabs>
        <w:spacing w:before="60" w:after="140"/>
      </w:pPr>
      <w:r>
        <w:tab/>
      </w:r>
      <m:oMath>
        <m:sSub>
          <m:e>
            <m:r>
              <m:t>T̂</m:t>
            </m:r>
          </m:e>
          <m:sub>
            <m:r>
              <m:t>c</m:t>
            </m:r>
          </m:sub>
        </m:sSub>
        <m:r>
          <m:t> / K = −48.460448 + 12.637367 D + 145.005064 </m:t>
        </m:r>
        <m:sSub>
          <m:e>
            <m:r>
              <m:t>x</m:t>
            </m:r>
          </m:e>
          <m:sub>
            <m:r>
              <m:t>Co</m:t>
            </m:r>
          </m:sub>
        </m:sSub>
      </m:oMath>
      <w:r>
        <w:rPr>
          <w:rFonts w:ascii="Times New Roman" w:hAnsi="Times New Roman"/>
          <w:sz w:val="20"/>
        </w:rPr>
        <w:tab/>
        <w:t>(3)</w:t>
      </w:r>
    </w:p>
    <w:p>
      <w:pPr>
        <w:pStyle w:val="MainText"/>
        <w:widowControl/>
      </w:pPr>
      <w:r>
        <w:t>The composition-dependent candidate fitted to the expanded dataset is given in Equation 4. Its basis columns are D, D(Ḡ − 10)/5, and D(xCo − 0.225)/0.05. It contains three coefficients and no separate intercept.</w:t>
      </w:r>
    </w:p>
    <w:p>
      <w:pPr>
        <w:tabs>
          <w:tab w:pos="4752" w:val="center"/>
          <w:tab w:pos="9576" w:val="right"/>
        </w:tabs>
        <w:spacing w:before="60" w:after="140"/>
      </w:pPr>
      <w:r>
        <w:tab/>
      </w:r>
      <m:oMath>
        <m:sSub>
          <m:e>
            <m:r>
              <m:t>T̂</m:t>
            </m:r>
          </m:e>
          <m:sub>
            <m:r>
              <m:t>c</m:t>
            </m:r>
          </m:sub>
        </m:sSub>
        <m:r>
          <m:t> / K = D [a + b (Ḡ − 10)/5 + c (</m:t>
        </m:r>
        <m:sSub>
          <m:e>
            <m:r>
              <m:t>x</m:t>
            </m:r>
          </m:e>
          <m:sub>
            <m:r>
              <m:t>Co</m:t>
            </m:r>
          </m:sub>
        </m:sSub>
        <m:r>
          <m:t> − 0.225)/0.05]</m:t>
        </m:r>
      </m:oMath>
      <w:r>
        <w:rPr>
          <w:rFonts w:ascii="Times New Roman" w:hAnsi="Times New Roman"/>
          <w:sz w:val="20"/>
        </w:rPr>
        <w:tab/>
        <w:t>(4)</w:t>
      </w:r>
    </w:p>
    <w:p>
      <w:pPr>
        <w:pStyle w:val="MainText"/>
        <w:widowControl/>
      </w:pPr>
      <w:r>
        <w:t>For the expanded candidate, a = 9.604243, b = 1.944423, and c = 0.952446. These numerical coefficients apply when Tc is expressed in kelvin.</w:t>
      </w:r>
    </w:p>
    <w:p>
      <w:pPr>
        <w:pStyle w:val="MainText"/>
        <w:widowControl/>
      </w:pPr>
      <w:r>
        <w:t>The bracket in Equation 4 is an empirical effective temperature scale. Its positivity on the observed data is not independent evidence for a particular microscopic coupling mechanism. The regression minimizes error in Tc directly. Fitting Tc/D instead would implicitly reweight the observations and is not the procedure used here. Restricted alternatives include a constant effective scale, dependence on Co alone, dependence on the RE mixture alone, and an additional Al term.</w:t>
      </w:r>
    </w:p>
    <w:p>
      <w:pPr>
        <w:pStyle w:val="SubTitle"/>
      </w:pPr>
      <w:r>
        <w:rPr>
          <w:color w:val="000000"/>
        </w:rPr>
        <w:t>2.3. Grouped validation and model selection</w:t>
      </w:r>
    </w:p>
    <w:p>
      <w:pPr>
        <w:pStyle w:val="MainText"/>
        <w:widowControl/>
      </w:pPr>
      <w:r>
        <w:t>Publications linked by a shared DOI or an identical canonical composition are assigned to the same outer validation group. The primary and expanded datasets yield six and nine such groups. A complete group is omitted in each outer fold. Ridge regularization is selected using only inner grouped folds, and scaling parameters are calculated from the training portion. For the effective-scale models, the basis columns are scaled by their training-weighted root mean square. Groups receive equal total weight in fitting and in the inner selection loss.</w:t>
      </w:r>
    </w:p>
    <w:p>
      <w:pPr>
        <w:pStyle w:val="MainText"/>
        <w:widowControl/>
      </w:pPr>
      <w:r>
        <w:t>The affine regularization grid is {0.01, 0.1, 1, 10}. The effective-scale models use {0, 0.001, 0.01, 0.1, 1}; the constant-scale alternative is fitted without a penalty. Model-family selection favors the least complex candidate within 1 K of the smallest inner group-balanced MAE. A training-only median is included as a baseline. Both fixed-family outer predictions and the entire nested selection procedure are reported. This distinction prevents the best-performing family from being presented as if its structure had been chosen independently of all examined results.</w:t>
      </w:r>
    </w:p>
    <w:p>
      <w:pPr>
        <w:pStyle w:val="MainText"/>
        <w:widowControl/>
      </w:pPr>
      <w:r>
        <w:t>Record MAE, group-balanced MAE, RMSE, maximum absolute error, and negative predictions are evaluated separately. A conservative dependency screen additionally links publications sharing normalized surname-and-initial keys. This screen flags possible author connections; common initials do not certify identity, and a connected component is not a laboratory count. No new author-network prediction score is inferred from the earlier DOI/composition folds. An independent numerical audit reconstructs the archived fits through an unscaled augmented least-squares solution using QR methods.</w:t>
      </w:r>
    </w:p>
    <w:p>
      <w:pPr>
        <w:pStyle w:val="SectionTitle"/>
      </w:pPr>
      <w:r>
        <w:rPr>
          <w:color w:val="000000"/>
        </w:rPr>
        <w:t>3. Results and Discussion</w:t>
      </w:r>
    </w:p>
    <w:p>
      <w:pPr>
        <w:pStyle w:val="SubTitle"/>
      </w:pPr>
      <w:r>
        <w:rPr>
          <w:color w:val="000000"/>
        </w:rPr>
        <w:t>3.1. Internal prediction and selection uncertainty</w:t>
      </w:r>
    </w:p>
    <w:p>
      <w:pPr>
        <w:pStyle w:val="MainText"/>
        <w:widowControl/>
      </w:pPr>
      <w:r>
        <w:t>Table 1 summarizes the grouped outer-fold results. On the same primary dataset, the affine relation yields an MAE of 1.848 K, compared with 6.000 K for the median. The fixed RE–Co effective-scale family reduces the error to 1.548 K. Once family selection is included, however, the primary-dataset MAE is 2.151 K. Thus, the error of a selected representation and that of the full procedure answer different questions.</w:t>
      </w:r>
    </w:p>
    <w:p>
      <w:pPr>
        <w:pStyle w:val="TableCaption"/>
        <w:keepNext/>
      </w:pPr>
      <w:r>
        <w:t>Table 1. Outer-fold prediction errors within the restricted alloy family</w:t>
      </w:r>
    </w:p>
    <w:tbl>
      <w:tblPr>
        <w:tblW w:type="auto" w:w="0"/>
        <w:jc w:val="center"/>
        <w:tblLayout w:type="fixed"/>
        <w:tblLook w:firstColumn="1" w:firstRow="1" w:lastColumn="0" w:lastRow="0" w:noHBand="0" w:noVBand="1" w:val="04A0"/>
      </w:tblPr>
      <w:tblGrid>
        <w:gridCol w:w="3672"/>
        <w:gridCol w:w="1253"/>
        <w:gridCol w:w="1584"/>
        <w:gridCol w:w="1253"/>
        <w:gridCol w:w="1253"/>
      </w:tblGrid>
      <w:tr>
        <w:trPr>
          <w:tblHeade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left"/>
            </w:pPr>
            <w:r>
              <w:rPr>
                <w:rFonts w:ascii="Times New Roman" w:hAnsi="Times New Roman"/>
                <w:b/>
                <w:color w:val="000000"/>
                <w:sz w:val="18"/>
              </w:rPr>
              <w:t>Dataset and method</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MAE (K)</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Group MAE (K)</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RMSE (K)</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Max (K)</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15 records median</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6.000</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5.542</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9.723</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30.000</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15 records affine</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1.848</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1.868</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2.657</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7.820</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15 records fixed RE–Co</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1.548</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1.445</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1.799</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4.014</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15 records full selection</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2.151</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2.035</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2.946</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7.690</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28 records affine refit</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2.918</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3.343</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3.979</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11.765</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28 records fixed RE–Co</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1.747</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1.647</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2.289</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5.951</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28 records RE–Co–Al</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1.891</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1.825</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2.569</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6.910</w:t>
            </w:r>
          </w:p>
        </w:tc>
      </w:tr>
      <w:tr>
        <w:trPr>
          <w:cantSplit/>
        </w:trPr>
        <w:tc>
          <w:tcPr>
            <w:tcW w:type="dxa" w:w="36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28 records full selection</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2.360</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2.602</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3.655</w:t>
            </w:r>
          </w:p>
        </w:tc>
        <w:tc>
          <w:tcPr>
            <w:tcW w:type="dxa" w:w="125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11.765</w:t>
            </w:r>
          </w:p>
        </w:tc>
      </w:tr>
    </w:tbl>
    <w:p>
      <w:pPr>
        <w:spacing w:after="0"/>
      </w:pPr>
    </w:p>
    <w:p>
      <w:pPr>
        <w:pStyle w:val="MainText"/>
        <w:widowControl/>
      </w:pPr>
      <w:r>
        <w:t>For the expanded dataset, the fixed RE–Co family gives an MAE of 1.747 K and a maximum error of 5.951 K. The affine structure refitted to these same 28 observations gives 2.918 K. The decrease in record MAE is approximately 40%; the group-balanced decrease is approximately 51%. These are within-dataset comparisons. Comparing 1.848 K on 15 observations directly with 1.747 K on 28 observations would confound a model change with a dataset change. The expanded median baseline has record MAE 11.679 K and group-balanced MAE 13.935 K.</w:t>
      </w:r>
    </w:p>
    <w:p>
      <w:pPr>
        <w:pStyle w:val="MainText"/>
        <w:widowControl/>
      </w:pPr>
      <w:r>
        <w:t>The complete selection procedure yields 2.360 K MAE and 11.765 K maximum error on the expanded dataset, as shown in Figure 1. All reported candidate outer predictions are nonnegative. Although the selected family performs favorably, the full procedure retains a larger extreme error. The expanded three-parameter candidate therefore does not justify a claim of universal accuracy near 1.75 K.</w:t>
      </w:r>
    </w:p>
    <w:p>
      <w:pPr>
        <w:keepNext/>
        <w:jc w:val="center"/>
      </w:pPr>
      <w:r>
        <w:drawing>
          <wp:inline xmlns:a="http://schemas.openxmlformats.org/drawingml/2006/main" xmlns:pic="http://schemas.openxmlformats.org/drawingml/2006/picture">
            <wp:extent cx="5852160" cy="2130022"/>
            <wp:docPr id="29" name="Picture 29"/>
            <wp:cNvGraphicFramePr>
              <a:graphicFrameLocks noChangeAspect="1"/>
            </wp:cNvGraphicFramePr>
            <a:graphic>
              <a:graphicData uri="http://schemas.openxmlformats.org/drawingml/2006/picture">
                <pic:pic>
                  <pic:nvPicPr>
                    <pic:cNvPr id="0" name="Figure1_validation.png"/>
                    <pic:cNvPicPr/>
                  </pic:nvPicPr>
                  <pic:blipFill>
                    <a:blip r:embed="rId20"/>
                    <a:stretch>
                      <a:fillRect/>
                    </a:stretch>
                  </pic:blipFill>
                  <pic:spPr>
                    <a:xfrm>
                      <a:off x="0" y="0"/>
                      <a:ext cx="5852160" cy="2130022"/>
                    </a:xfrm>
                    <a:prstGeom prst="rect"/>
                  </pic:spPr>
                </pic:pic>
              </a:graphicData>
            </a:graphic>
          </wp:inline>
        </w:drawing>
      </w:r>
    </w:p>
    <w:p>
      <w:pPr>
        <w:pStyle w:val="FigureCaption"/>
        <w:spacing w:after="160"/>
      </w:pPr>
      <w:r>
        <w:t>Figure 1. Reported and held-out Curie temperatures for the same 28 development observations. The fixed RE–Co family and complete model-selection procedure are distinguished. Folds separate DOI/composition groups, not independently certified laboratories.</w:t>
      </w:r>
    </w:p>
    <w:p>
      <w:pPr>
        <w:pStyle w:val="SubTitle"/>
      </w:pPr>
      <w:r>
        <w:rPr>
          <w:color w:val="000000"/>
        </w:rPr>
        <w:t>3.2. Coefficients and compositional identifiability</w:t>
      </w:r>
    </w:p>
    <w:p>
      <w:pPr>
        <w:pStyle w:val="MainText"/>
        <w:widowControl/>
      </w:pPr>
      <w:r>
        <w:t>In the primary dataset, xCo = xAl and xGd = xCo for every observation. Separate Co, Al, and Gd effects cannot therefore be identified from that design. The augmented affine design containing an intercept, D, Co, and Al has rank three rather than four. The expanded dataset breaks these exact equalities, but restoring algebraic rank does not establish a causal elemental contribution. The Co coefficient represents the fitted association along the composition changes that are present in the data.</w:t>
      </w:r>
    </w:p>
    <w:p>
      <w:pPr>
        <w:pStyle w:val="MainText"/>
        <w:widowControl/>
      </w:pPr>
      <w:r>
        <w:t>Deleting one publication/composition group from the expanded fit gives coefficient ranges of 9.567–9.645 K for the base scale, 1.576–2.007 K for the RE-mixture term, and 0.921–0.986 K for the Co term. These are sensitivity ranges, not confidence intervals. Adding Al produces a coefficient whose deletion range crosses zero, from −0.0688 to +0.1685 K, while MAE increases from 1.747 to 1.891 K. The supported conclusion is that the tested additional Al term does not provide stable predictive improvement. It does not follow that Al has no physical effect.</w:t>
      </w:r>
    </w:p>
    <w:p>
      <w:pPr>
        <w:pStyle w:val="MainText"/>
        <w:widowControl/>
      </w:pPr>
      <w:r>
        <w:t>A same-data substitution path illustrates the interpretation. For Gd25TbzDy25−zCo25Al25, Equation 4 gives 60.69, 67.27, and 74.13 K at z = 0, 12.5, and 25 at.%, respectively. The endpoints belong to development data, while the midpoint is an unmeasured conditional estimate. These values must not be presented as newly verified alloy performance. The slight curvature follows from the D Ḡ = D²/fRE term; no microscopic mechanism is demonstrated by that algebraic form.</w:t>
      </w:r>
    </w:p>
    <w:p>
      <w:pPr>
        <w:pStyle w:val="SubTitle"/>
      </w:pPr>
      <w:r>
        <w:rPr>
          <w:color w:val="000000"/>
        </w:rPr>
        <w:t>3.3. Frozen-coefficient checks on additional compositions</w:t>
      </w:r>
    </w:p>
    <w:p>
      <w:pPr>
        <w:pStyle w:val="MainText"/>
        <w:widowControl/>
      </w:pPr>
      <w:r>
        <w:t>The six Gd–Er and Gd–Ho compositions in Table 2 were taken from the Tc column of the original substitution study [4]. That publication distinguishes Tc from the entropy-peak temperature and determines Tc from the minimum in dM/dT on cooling under 200 Oe. The phase description and original XRD/DSC evidence were retained in the source audit. Co and Al contents are fixed at 17.5 and 27.5 at.%, and the total rare-earth fraction is 55 at.%. No coefficient was adjusted using these six targets.</w:t>
      </w:r>
    </w:p>
    <w:p>
      <w:pPr>
        <w:pStyle w:val="TableCaption"/>
        <w:keepNext/>
      </w:pPr>
      <w:r>
        <w:t>Table 2. Frozen raw calculations for six additional compositions from one publication</w:t>
      </w:r>
    </w:p>
    <w:tbl>
      <w:tblPr>
        <w:tblW w:type="auto" w:w="0"/>
        <w:jc w:val="center"/>
        <w:tblLayout w:type="fixed"/>
        <w:tblLook w:firstColumn="1" w:firstRow="1" w:lastColumn="0" w:lastRow="0" w:noHBand="0" w:noVBand="1" w:val="04A0"/>
      </w:tblPr>
      <w:tblGrid>
        <w:gridCol w:w="3888"/>
        <w:gridCol w:w="1872"/>
        <w:gridCol w:w="1584"/>
        <w:gridCol w:w="1656"/>
      </w:tblGrid>
      <w:tr>
        <w:trPr>
          <w:tblHeade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left"/>
            </w:pPr>
            <w:r>
              <w:rPr>
                <w:rFonts w:ascii="Times New Roman" w:hAnsi="Times New Roman"/>
                <w:b/>
                <w:color w:val="000000"/>
                <w:sz w:val="18"/>
              </w:rPr>
              <w:t>RE contents (at.%)</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Reported Tc (K)</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Affine (K)</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E8EDF1"/>
          </w:tcPr>
          <w:p>
            <w:pPr>
              <w:spacing w:after="40" w:before="40" w:line="240" w:lineRule="auto"/>
              <w:jc w:val="center"/>
            </w:pPr>
            <w:r>
              <w:rPr>
                <w:rFonts w:ascii="Times New Roman" w:hAnsi="Times New Roman"/>
                <w:b/>
                <w:color w:val="000000"/>
                <w:sz w:val="18"/>
              </w:rPr>
              <w:t>RE–Co (K)</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Gd16.5Er38.5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23</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22.16</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26.12</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Gd27.5Er27.5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38</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40.51</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41.88</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Gd38.5Er16.5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58</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58.86</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60.62</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Gd16.5Ho38.5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27</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31.65</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33.89</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Gd27.5Ho27.5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45</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47.29</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48.45</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Gd38.5Ho16.5</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64</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62.93</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65.17</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MAE (K)</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2.037</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3.521</w:t>
            </w:r>
          </w:p>
        </w:tc>
      </w:tr>
      <w:tr>
        <w:trPr>
          <w:cantSplit/>
        </w:trPr>
        <w:tc>
          <w:tcPr>
            <w:tcW w:type="dxa" w:w="38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left"/>
            </w:pPr>
            <w:r>
              <w:rPr>
                <w:rFonts w:ascii="Times New Roman" w:hAnsi="Times New Roman"/>
                <w:b w:val="0"/>
                <w:color w:val="000000"/>
                <w:sz w:val="18"/>
              </w:rPr>
              <w:t>Maximum error (K)</w:t>
            </w:r>
          </w:p>
        </w:tc>
        <w:tc>
          <w:tcPr>
            <w:tcW w:type="dxa" w:w="187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w:t>
            </w:r>
          </w:p>
        </w:tc>
        <w:tc>
          <w:tcPr>
            <w:tcW w:type="dxa" w:w="15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4.651</w:t>
            </w:r>
          </w:p>
        </w:tc>
        <w:tc>
          <w:tcPr>
            <w:tcW w:type="dxa" w:w="165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after="40" w:before="40" w:line="240" w:lineRule="auto"/>
              <w:jc w:val="center"/>
            </w:pPr>
            <w:r>
              <w:rPr>
                <w:rFonts w:ascii="Times New Roman" w:hAnsi="Times New Roman"/>
                <w:b w:val="0"/>
                <w:color w:val="000000"/>
                <w:sz w:val="18"/>
              </w:rPr>
              <w:t>6.894</w:t>
            </w:r>
          </w:p>
        </w:tc>
      </w:tr>
    </w:tbl>
    <w:p>
      <w:pPr>
        <w:spacing w:after="0"/>
      </w:pPr>
    </w:p>
    <w:p>
      <w:pPr>
        <w:pStyle w:val="MainText"/>
        <w:widowControl/>
      </w:pPr>
      <w:r>
        <w:t>The affine relation is more accurate on this particular six-composition series, despite the better internal score of the RE–Co family. The latter overpredicts all six values, as seen in Figure 2. This coherent residual sign is a reason to seek new evidence rather than subtract a fitted correction and reuse the same records as validation. The observations come from one publication, and all six are outside the original full-composition convex hull. The calculations are therefore explicitly raw extrapolation checks. They are not default supported predictions, six independent laboratories, or a proof of general superiority of the affine form. Different training datasets also prevent attributing the contrast to model form alone.</w:t>
      </w:r>
    </w:p>
    <w:p>
      <w:pPr>
        <w:keepNext/>
        <w:jc w:val="center"/>
      </w:pPr>
      <w:r>
        <w:drawing>
          <wp:inline xmlns:a="http://schemas.openxmlformats.org/drawingml/2006/main" xmlns:pic="http://schemas.openxmlformats.org/drawingml/2006/picture">
            <wp:extent cx="5852160" cy="2163566"/>
            <wp:docPr id="30" name="Picture 30"/>
            <wp:cNvGraphicFramePr>
              <a:graphicFrameLocks noChangeAspect="1"/>
            </wp:cNvGraphicFramePr>
            <a:graphic>
              <a:graphicData uri="http://schemas.openxmlformats.org/drawingml/2006/picture">
                <pic:pic>
                  <pic:nvPicPr>
                    <pic:cNvPr id="0" name="Figure2_frozen_checks.png"/>
                    <pic:cNvPicPr/>
                  </pic:nvPicPr>
                  <pic:blipFill>
                    <a:blip r:embed="rId21"/>
                    <a:stretch>
                      <a:fillRect/>
                    </a:stretch>
                  </pic:blipFill>
                  <pic:spPr>
                    <a:xfrm>
                      <a:off x="0" y="0"/>
                      <a:ext cx="5852160" cy="2163566"/>
                    </a:xfrm>
                    <a:prstGeom prst="rect"/>
                  </pic:spPr>
                </pic:pic>
              </a:graphicData>
            </a:graphic>
          </wp:inline>
        </w:drawing>
      </w:r>
    </w:p>
    <w:p>
      <w:pPr>
        <w:pStyle w:val="FigureCaption"/>
        <w:spacing w:after="160"/>
      </w:pPr>
      <w:r>
        <w:t>Figure 2. Frozen calculations along Gd–Er and Gd–Ho substitution series from one source [4]. Co17.5Al27.5 is fixed. Both relations are evaluated without refitting; all six additional compositions lie outside their original full-composition support.</w:t>
      </w:r>
    </w:p>
    <w:p>
      <w:pPr>
        <w:pStyle w:val="SubTitle"/>
      </w:pPr>
      <w:r>
        <w:rPr>
          <w:color w:val="000000"/>
        </w:rPr>
        <w:t>3.4. Source dependence and processing limitations</w:t>
      </w:r>
    </w:p>
    <w:p>
      <w:pPr>
        <w:pStyle w:val="MainText"/>
        <w:widowControl/>
      </w:pPr>
      <w:r>
        <w:t>A new metadata check recovered complete Crossref author lists for all 14 development publications. Conservatively joining possible shared surname-and-initial keys and identical compositions gives three candidate connected components containing 18, 8, and 2 observations. These are provisional dependency components, not three certified independent laboratories. The earlier six- and nine-group scores remain correct for their stated DOI/composition splitting rule, but should not be relabeled as author-independent validation. A surname-and-initial match can join different researchers; identity resolution requires full-name, institutional, or ORCID evidence.</w:t>
      </w:r>
    </w:p>
    <w:p>
      <w:pPr>
        <w:pStyle w:val="MainText"/>
        <w:widowControl/>
      </w:pPr>
      <w:r>
        <w:t>Processing introduces a separate limitation. For the same nominal Gd55Co20Al24.5Si0.5 composition, published studies report changes associated with annealing and cryogenic cycling [17], [18]. The annealing series reports Tc values spanning 88–102 K, whereas a composition-only relation necessarily returns one value for all these states. For this particular pair of endpoints, the best common scalar prediction has an unavoidable maximum deviation of at least 7 K. This is a conditional mathematical statement about combining those processing states; it is not a universal noise floor or a calibrated ±7 K uncertainty for untreated alloys.</w:t>
      </w:r>
    </w:p>
    <w:p>
      <w:pPr>
        <w:pStyle w:val="MainText"/>
        <w:widowControl/>
      </w:pPr>
      <w:r>
        <w:t>The present equations do not include annealing temperature, dwell time, atmosphere, thermal schedule, or processing-induced phase changes. They should therefore be considered only for the specified initial amorphous family, with the processing limitation retained. A numerical annealing correction is not provided. Measured starting Tc, saturation magnetization, DSC quantities, local order, and crystalline fraction are not used as prediction features.</w:t>
      </w:r>
    </w:p>
    <w:p>
      <w:pPr>
        <w:pStyle w:val="SubTitle"/>
      </w:pPr>
      <w:r>
        <w:rPr>
          <w:color w:val="000000"/>
        </w:rPr>
        <w:t>3.5. Reproducibility and limits of the evidence</w:t>
      </w:r>
    </w:p>
    <w:p>
      <w:pPr>
        <w:pStyle w:val="MainText"/>
        <w:widowControl/>
      </w:pPr>
      <w:r>
        <w:t>The original affine and effective-scale model files were preserved. Independent QR reconstruction reproduced 99 archived outer models and their inner choices with a largest prediction difference of approximately 1.1 × 10⁻¹² K. Direct arithmetic on the six frozen checks agreed with the stored predictions within 1.5 × 10⁻¹⁴ K. These checks establish numerical reproducibility, not experimental validity. Source maps, fold predictions, model files, the author-link screen, and original figure-generation scripts accompany this work.</w:t>
      </w:r>
    </w:p>
    <w:p>
      <w:pPr>
        <w:pStyle w:val="MainText"/>
        <w:widowControl/>
      </w:pPr>
      <w:r>
        <w:t>The material family was chosen during an earlier exploratory sequence, and the dataset remains small. The present results cannot be interpreted as a preregistered universal hypothesis test. Joint composition support is more restrictive than independent minimum–maximum bounds on each element. Passing those bounds does not establish coverage of an arbitrary RE mixture. The support check does not predict glass formation, and no calibrated prediction intervals are available. Future validation should use independently produced, phase-characterized samples with a fixed low-field Tc protocol and frozen coefficients. New measurements should first be evaluated without modifying the relations.</w:t>
      </w:r>
    </w:p>
    <w:p>
      <w:pPr>
        <w:pStyle w:val="SectionTitle"/>
      </w:pPr>
      <w:r>
        <w:rPr>
          <w:color w:val="000000"/>
        </w:rPr>
        <w:t>4. Conclusions</w:t>
      </w:r>
    </w:p>
    <w:p>
      <w:pPr>
        <w:pStyle w:val="MainText"/>
        <w:widowControl/>
      </w:pPr>
      <w:r>
        <w:t>Two compact de Gennes-based empirical relations were assessed for Gd-containing RE–Co–Al metallic glasses. The affine relation gives 1.85 K MAE on the 15-record primary dataset. On the expanded 28-record dataset, the fixed RE–Co family gives 1.75 K MAE, while the full selection procedure gives 2.36 K and a maximum error of 11.76 K. The latter values are necessary for assessing the complete analysis rather than the best family alone.</w:t>
      </w:r>
    </w:p>
    <w:p>
      <w:pPr>
        <w:pStyle w:val="MainText"/>
        <w:widowControl/>
      </w:pPr>
      <w:r>
        <w:t>Frozen calculations on six additional Gd–Ho/Gd–Er compositions favor the affine relation, with MAE 2.04 K compared with 3.52 K for the effective-scale relation. Those observations constitute one-source extrapolation evidence. The findings support a narrowly scoped empirical screening approach and demonstrate the importance of separating internal fit improvement, model-selection uncertainty, composition support, source dependence, and processing state. They do not establish independent Co/Al mechanisms, a universal Tc formula, or an annealing correction.</w:t>
      </w:r>
    </w:p>
    <w:p>
      <w:pPr>
        <w:pStyle w:val="SectionTitle"/>
      </w:pPr>
      <w:r>
        <w:rPr>
          <w:color w:val="000000"/>
        </w:rPr>
        <w:t>Article Information Form</w:t>
      </w:r>
    </w:p>
    <w:p>
      <w:pPr>
        <w:pStyle w:val="SubTitle"/>
      </w:pPr>
      <w:r>
        <w:rPr>
          <w:color w:val="000000"/>
        </w:rPr>
        <w:t>Data Availability</w:t>
      </w:r>
    </w:p>
    <w:p>
      <w:pPr>
        <w:pStyle w:val="MainText"/>
        <w:widowControl/>
      </w:pPr>
      <w:r>
        <w:t>The accompanying reproducibility package contains the record-level data used here, their source identifiers, grouped predictions, frozen model files, computational audit results, and figure-generation scripts. Published source articles retain their original licenses; publisher PDFs and figures are not redistributed.</w:t>
      </w:r>
    </w:p>
    <w:p>
      <w:pPr>
        <w:pStyle w:val="SubTitle"/>
      </w:pPr>
      <w:r>
        <w:rPr>
          <w:color w:val="000000"/>
        </w:rPr>
        <w:t>Artificial Intelligence Statement</w:t>
      </w:r>
    </w:p>
    <w:p>
      <w:pPr>
        <w:pStyle w:val="MainText"/>
        <w:widowControl/>
      </w:pPr>
      <w:r>
        <w:t>OpenAI ChatGPT was used to assist with literature organization, manuscript drafting and language editing, Python scripting, and computational checks. Experimental target values were taken from the cited publications and archived source records. The authors remain responsible for verifying the scientific content, source interpretations, and final submitted version.</w:t>
      </w:r>
    </w:p>
    <w:p>
      <w:pPr>
        <w:pStyle w:val="SectionTitle"/>
      </w:pPr>
      <w:r>
        <w:rPr>
          <w:color w:val="000000"/>
        </w:rPr>
        <w:t>References</w:t>
      </w:r>
    </w:p>
    <w:p>
      <w:pPr>
        <w:pStyle w:val="MainText"/>
        <w:spacing w:after="100"/>
        <w:ind w:left="360" w:hanging="360"/>
      </w:pPr>
      <w:r>
        <w:t>[1] L. Shao, L. Xue, Q. Luo, Q. Wang, and B. Shen, “The role of Co/Al ratio in glass-forming GdCoAl magnetocaloric metallic glasses,” Materialia, vol. 7, Art. no. 100419, 2019, doi: 10.1016/j.mtla.2019.100419.</w:t>
      </w:r>
    </w:p>
    <w:p>
      <w:pPr>
        <w:pStyle w:val="MainText"/>
        <w:spacing w:after="100"/>
        <w:ind w:left="360" w:hanging="360"/>
      </w:pPr>
      <w:r>
        <w:t>[2] X. Wang, D. Ding, L. Cui, and L. Xia, “Compositional Dependence of Curie Temperature and Magnetic Entropy Change in the Amorphous Tb–Co Ribbons,” Materials, vol. 14, no. 4, Art. no. 1002, 2021, doi: 10.3390/ma14041002.</w:t>
      </w:r>
    </w:p>
    <w:p>
      <w:pPr>
        <w:pStyle w:val="MainText"/>
        <w:spacing w:after="100"/>
        <w:ind w:left="360" w:hanging="360"/>
      </w:pPr>
      <w:r>
        <w:t>[3] F. Jin, C. Yuan, C. Pang, X. Wang, C. Cao, and J. Huo, “Entropy tailoring of thermodynamic behaviors and magnetocaloric effects in (GdTbDy)CoAl metallic glasses,” Materials &amp; Design, vol. 238, Art. no. 112653, 2024, doi: 10.1016/j.matdes.2024.112653.</w:t>
      </w:r>
    </w:p>
    <w:p>
      <w:pPr>
        <w:pStyle w:val="MainText"/>
        <w:spacing w:after="100"/>
        <w:ind w:left="360" w:hanging="360"/>
      </w:pPr>
      <w:r>
        <w:t>[4] H. Zhang, R. Li, L. Zhang, and T. Zhang, “Tunable magnetic and magnetocaloric properties in heavy rare-earth based metallic glasses through the substitution of similar elements,” Journal of Applied Physics, vol. 115, no. 13, Art. no. 133903, 2014, doi: 10.1063/1.4870286.</w:t>
      </w:r>
    </w:p>
    <w:p>
      <w:pPr>
        <w:pStyle w:val="MainText"/>
        <w:spacing w:after="100"/>
        <w:ind w:left="360" w:hanging="360"/>
      </w:pPr>
      <w:r>
        <w:t>[5] H. Ma, L. Gao, X. Jin, J. Zhao, J. Zhao, and J. Huang, “Low-temperature magnetic refrigeration in Gd20Tb20Er20Al20M20 (M = Fe, Co) high-entropy metallic glasses,” Chinese Journal of Physics, vol. 92, pp. 353-365, 2024, doi: 10.1016/j.cjph.2024.09.021.</w:t>
      </w:r>
    </w:p>
    <w:p>
      <w:pPr>
        <w:pStyle w:val="MainText"/>
        <w:spacing w:after="100"/>
        <w:ind w:left="360" w:hanging="360"/>
      </w:pPr>
      <w:r>
        <w:t>[6] J. Huo, et al., “The magnetocaloric effect of Gd-Tb-Dy-Al-M (M = Fe, Co and Ni) high-entropy bulk metallic glasses,” Intermetallics, vol. 58, pp. 31-35, 2015, doi: 10.1016/j.intermet.2014.11.004.</w:t>
      </w:r>
    </w:p>
    <w:p>
      <w:pPr>
        <w:pStyle w:val="MainText"/>
        <w:spacing w:after="100"/>
        <w:ind w:left="360" w:hanging="360"/>
      </w:pPr>
      <w:r>
        <w:t>[7] W. Sheng, J. Q. Wang, G. Wang, J. Huo, X. Wang, and R. W. Li, “Amorphous microwires of high entropy alloys with large magnetocaloric effect,” Intermetallics, vol. 96, pp. 79-83, 2018, doi: 10.1016/j.intermet.2018.02.015.</w:t>
      </w:r>
    </w:p>
    <w:p>
      <w:pPr>
        <w:pStyle w:val="MainText"/>
        <w:spacing w:after="100"/>
        <w:ind w:left="360" w:hanging="360"/>
      </w:pPr>
      <w:r>
        <w:t>[8] J. Li, L. Xue, W. Yang, C. Yuan, J. Huo, and B. Shen, “Distinct spin glass behavior and excellent magnetocaloric effect in Er 20 Dy 20 Co 20 Al 20 RE 20 (RE = Gd, Tb and Tm) high-entropy bulk metallic glasses,” Intermetallics, vol. 96, pp. 90-93, 2018, doi: 10.1016/j.intermet.2018.03.002.</w:t>
      </w:r>
    </w:p>
    <w:p>
      <w:pPr>
        <w:pStyle w:val="MainText"/>
        <w:spacing w:after="100"/>
        <w:ind w:left="360" w:hanging="360"/>
      </w:pPr>
      <w:r>
        <w:t>[9] L. Xue, L. Shao, Q. Luo, and B. Shen, “Gd25RE25Co25Al25 (RE = Tb, Dy and Ho) high-entropy glassy alloys with distinct spin-glass behavior and good magnetocaloric effect,” Journal of Alloys and Compounds, vol. 790, pp. 633-639, 2019, doi: 10.1016/j.jallcom.2019.03.210.</w:t>
      </w:r>
    </w:p>
    <w:p>
      <w:pPr>
        <w:pStyle w:val="MainText"/>
        <w:spacing w:after="100"/>
        <w:ind w:left="360" w:hanging="360"/>
      </w:pPr>
      <w:r>
        <w:t>[10] C. M. Pang, et al., “Effect of Dy, Ho, and Er substitution on the magnetocaloric properties of Gd-Co-Al-Y high entropy bulk metallic glasses,” Journal of Alloys and Compounds, vol. 827, Art. no. 154101, 2020, doi: 10.1016/j.jallcom.2020.154101.</w:t>
      </w:r>
    </w:p>
    <w:p>
      <w:pPr>
        <w:pStyle w:val="MainText"/>
        <w:spacing w:after="100"/>
        <w:ind w:left="360" w:hanging="360"/>
      </w:pPr>
      <w:r>
        <w:t>[11] S. Wei, et al., “Microstructure and magnetocaloric behavior of GdDyCoAl-based high-entropy metallic glass microwires,” Journal of Alloys and Compounds, vol. 1006, Art. no. 176308, 2024, doi: 10.1016/j.jallcom.2024.176308.</w:t>
      </w:r>
    </w:p>
    <w:p>
      <w:pPr>
        <w:pStyle w:val="MainText"/>
        <w:spacing w:after="100"/>
        <w:ind w:left="360" w:hanging="360"/>
      </w:pPr>
      <w:r>
        <w:t>[12] Q. Li, L. Gao, J. Xu, X. Jin, and J. Zhao, “Glass-forming ability and magnetocaloric performance of Gd18.34Tb18.33Dy18.33Al20M25 (M = Fe, Co) high-entropy amorphous alloys,” Journal of Alloys and Compounds, vol. 1047, Art. no. 185117, 2025, doi: 10.1016/j.jallcom.2025.185117.</w:t>
      </w:r>
    </w:p>
    <w:p>
      <w:pPr>
        <w:pStyle w:val="MainText"/>
        <w:spacing w:after="100"/>
        <w:ind w:left="360" w:hanging="360"/>
      </w:pPr>
      <w:r>
        <w:t>[13] L. Shao, et al., “Effects of minor Si addition on structural heterogeneity and glass formation of GdDyErCoAl high-entropy bulk metallic glass,” Journal of Materials Research and Technology, vol. 11, pp. 378-391, 2021, doi: 10.1016/j.jmrt.2021.01.035.</w:t>
      </w:r>
    </w:p>
    <w:p>
      <w:pPr>
        <w:pStyle w:val="MainText"/>
        <w:spacing w:after="100"/>
        <w:ind w:left="360" w:hanging="360"/>
      </w:pPr>
      <w:r>
        <w:t>[14] S. Wei, H. Shen, L. Zhang, F. Cao, and J. Sun, “Magnetic properties and magnetocaloric effects of rare-earth based high-entropy amorphous microwires,” Journal of Materials Research and Technology, vol. 33, pp. 6216-6222, 2024, doi: 10.1016/j.jmrt.2024.11.019.</w:t>
      </w:r>
    </w:p>
    <w:p>
      <w:pPr>
        <w:pStyle w:val="MainText"/>
        <w:spacing w:after="100"/>
        <w:ind w:left="360" w:hanging="360"/>
      </w:pPr>
      <w:r>
        <w:t>[15] C. M. Pang, et al., “Effect of Yttrium addition on magnetocaloric properties of Gd-Co-Al-Ho high entropy metallic glasses,” Journal of Non-Crystalline Solids, vol. 549, Art. no. 120354, 2020, doi: 10.1016/j.jnoncrysol.2020.120354.</w:t>
      </w:r>
    </w:p>
    <w:p>
      <w:pPr>
        <w:pStyle w:val="MainText"/>
        <w:spacing w:after="100"/>
        <w:ind w:left="360" w:hanging="360"/>
      </w:pPr>
      <w:r>
        <w:t>[16] J. Huo, et al., “High-entropy bulk metallic glasses as promising magnetic refrigerants,” Journal of Applied Physics, vol. 117, no. 7, Art. no. 073902, 2015, doi: 10.1063/1.4908286.</w:t>
      </w:r>
    </w:p>
    <w:p>
      <w:pPr>
        <w:pStyle w:val="MainText"/>
        <w:spacing w:after="100"/>
        <w:ind w:left="360" w:hanging="360"/>
      </w:pPr>
      <w:r>
        <w:t>[17] Z. Zhang, Q. Luo, L. Shao, L. Xue, B. Chen, and B. Shen, “Tuning magnetocaloric effect of Gd-Co-Al-Si bulk metallic glass via controlling degree of structural order,” Journal of Magnetism and Magnetic Materials, vol. 545, Art. no. 168769, 2022, doi: 10.1016/j.jmmm.2021.168769.</w:t>
      </w:r>
    </w:p>
    <w:p>
      <w:pPr>
        <w:pStyle w:val="MainText"/>
        <w:spacing w:after="100"/>
        <w:ind w:left="360" w:hanging="360"/>
      </w:pPr>
      <w:r>
        <w:t>[18] Q. Luo, J. Cui, Z. Zhang, M. Han, and B. Shen, “Tuning nanoscale heterogeneity by non-affine thermal strain to modulate defect activation and maximize magnetocaloric effect of metallic glass,” Materials &amp; Design, vol. 225, Art. no. 111500, 2023, doi: 10.1016/j.matdes.2022.111500.</w:t>
      </w:r>
    </w:p>
    <w:p>
      <w:pPr>
        <w:pStyle w:val="MainText"/>
        <w:spacing w:after="100"/>
        <w:ind w:left="360" w:hanging="360"/>
      </w:pPr>
      <w:r>
        <w:t>[19] C. Liu, Y. Lu, J. Feng, W. Cai, and H. Su, “Prediction and customized design of Curie temperature of Fe-based amorphous alloys based on interpretable machine learning,” Materials Today Communications, vol. 38, Art. no. 107667, 2024, doi: 10.1016/j.mtcomm.2023.107667.</w:t>
      </w:r>
    </w:p>
    <w:p>
      <w:pPr>
        <w:pStyle w:val="MainText"/>
        <w:spacing w:after="100"/>
        <w:ind w:left="360" w:hanging="360"/>
      </w:pPr>
      <w:r>
        <w:t>[20] Z. LI, S. LEI, Y. GAO, M. ZHU, S. ZHANG, and J. LIN, “Interpretable machine learning-driven synergistic optimization of magnetocaloric properties and design of room-temperature refrigeration materials for amorphous alloys,” SCIENTIA SINICA Physica, Mechanica &amp; Astronomica, vol. 56, no. 12, Art. no. 126111, 2026, doi: 10.1360/sspma-2026-0007.</w:t>
      </w:r>
    </w:p>
    <w:sectPr w:rsidR="00436CE7" w:rsidSect="00E302B8">
      <w:headerReference w:type="even" r:id="rId11"/>
      <w:headerReference w:type="default" r:id="rId12"/>
      <w:footerReference w:type="even" r:id="rId13"/>
      <w:footerReference w:type="default" r:id="rId14"/>
      <w:type w:val="continuous"/>
      <w:pgSz w:w="11910" w:h="16840"/>
      <w:pgMar w:top="1134" w:right="851" w:bottom="1134" w:left="907" w:header="680" w:footer="4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2E8F6" w14:textId="77777777" w:rsidR="00063034" w:rsidRDefault="00063034">
      <w:r>
        <w:separator/>
      </w:r>
    </w:p>
  </w:endnote>
  <w:endnote w:type="continuationSeparator" w:id="0">
    <w:p w14:paraId="6995968D" w14:textId="77777777" w:rsidR="00063034" w:rsidRDefault="00063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A2"/>
    <w:family w:val="auto"/>
    <w:pitch w:val="variable"/>
    <w:sig w:usb0="00008007" w:usb1="00000000" w:usb2="00000000" w:usb3="00000000" w:csb0="00000093"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7296454"/>
      <w:docPartObj>
        <w:docPartGallery w:val="Page Numbers (Bottom of Page)"/>
        <w:docPartUnique/>
      </w:docPartObj>
    </w:sdtPr>
    <w:sdtEndPr/>
    <w:sdtContent>
      <w:p w14:paraId="5DCC43FF" w14:textId="016D7ECA" w:rsidR="00DD2529" w:rsidRDefault="00DD2529">
        <w:pPr>
          <w:pStyle w:val="AltBilgi"/>
          <w:jc w:val="right"/>
        </w:pPr>
        <w:r>
          <w:fldChar w:fldCharType="begin"/>
        </w:r>
        <w:r>
          <w:instrText>PAGE   \* MERGEFORMAT</w:instrText>
        </w:r>
        <w:r>
          <w:fldChar w:fldCharType="separate"/>
        </w:r>
        <w:r>
          <w:rPr>
            <w:lang w:val="tr-TR"/>
          </w:rPr>
          <w:t>2</w:t>
        </w:r>
        <w:r>
          <w:fldChar w:fldCharType="end"/>
        </w:r>
      </w:p>
    </w:sdtContent>
  </w:sdt>
  <w:p w14:paraId="1DFA9DE7" w14:textId="77777777" w:rsidR="001728B9" w:rsidRDefault="001728B9">
    <w:pPr>
      <w:pStyle w:val="GvdeMetni"/>
      <w:spacing w:line="14" w:lineRule="auto"/>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DB956" w14:textId="2025F3B0" w:rsidR="001728B9" w:rsidRDefault="001728B9">
    <w:pPr>
      <w:pStyle w:val="GvdeMetni"/>
      <w:spacing w:line="14" w:lineRule="auto"/>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D391" w14:textId="7E6EB7F1" w:rsidR="001728B9" w:rsidRDefault="001728B9">
    <w:pPr>
      <w:pStyle w:val="GvdeMetni"/>
      <w:spacing w:line="14" w:lineRule="auto"/>
      <w:jc w:val="left"/>
      <w:rPr>
        <w:sz w:val="20"/>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E6C41" w14:textId="77777777" w:rsidR="00063034" w:rsidRDefault="00063034">
      <w:r>
        <w:separator/>
      </w:r>
    </w:p>
  </w:footnote>
  <w:footnote w:type="continuationSeparator" w:id="0">
    <w:p w14:paraId="50419467" w14:textId="77777777" w:rsidR="00063034" w:rsidRDefault="00063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9A766" w14:textId="1F3C5079" w:rsidR="001728B9" w:rsidRPr="00216A34" w:rsidRDefault="001728B9" w:rsidP="00216A3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265F3" w14:textId="4516AD82" w:rsidR="001728B9" w:rsidRPr="00216A34" w:rsidRDefault="001728B9" w:rsidP="00216A34">
    <w:pPr>
      <w:pStyle w:val="stBilgi"/>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B7124"/>
    <w:multiLevelType w:val="hybridMultilevel"/>
    <w:tmpl w:val="5D5AB988"/>
    <w:lvl w:ilvl="0" w:tplc="BB1E26B6">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1269C1"/>
    <w:multiLevelType w:val="multilevel"/>
    <w:tmpl w:val="9E8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593D"/>
    <w:multiLevelType w:val="multilevel"/>
    <w:tmpl w:val="A97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5CD0"/>
    <w:multiLevelType w:val="multilevel"/>
    <w:tmpl w:val="C16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F2084"/>
    <w:multiLevelType w:val="multilevel"/>
    <w:tmpl w:val="4D7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6FD0"/>
    <w:multiLevelType w:val="multilevel"/>
    <w:tmpl w:val="E000DAAC"/>
    <w:lvl w:ilvl="0">
      <w:start w:val="1"/>
      <w:numFmt w:val="decimal"/>
      <w:lvlText w:val="%1."/>
      <w:lvlJc w:val="left"/>
      <w:pPr>
        <w:tabs>
          <w:tab w:val="num" w:pos="720"/>
        </w:tabs>
        <w:ind w:left="720" w:hanging="360"/>
      </w:pPr>
      <w:rPr>
        <w:rFonts w:ascii="Poppins" w:eastAsia="Times New Roman" w:hAnsi="Poppins" w:cs="Poppin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E5F74"/>
    <w:multiLevelType w:val="multilevel"/>
    <w:tmpl w:val="6C7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D59AF"/>
    <w:multiLevelType w:val="multilevel"/>
    <w:tmpl w:val="B20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35851"/>
    <w:multiLevelType w:val="multilevel"/>
    <w:tmpl w:val="EE4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169EB"/>
    <w:multiLevelType w:val="multilevel"/>
    <w:tmpl w:val="5A0C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00494"/>
    <w:multiLevelType w:val="multilevel"/>
    <w:tmpl w:val="993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F435B"/>
    <w:multiLevelType w:val="multilevel"/>
    <w:tmpl w:val="6164C5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6C6130"/>
    <w:multiLevelType w:val="hybridMultilevel"/>
    <w:tmpl w:val="9536A35E"/>
    <w:lvl w:ilvl="0" w:tplc="E9C60960">
      <w:start w:val="1"/>
      <w:numFmt w:val="decimal"/>
      <w:lvlText w:val="%1."/>
      <w:lvlJc w:val="left"/>
      <w:pPr>
        <w:ind w:left="4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0C4C94">
      <w:numFmt w:val="bullet"/>
      <w:lvlText w:val="•"/>
      <w:lvlJc w:val="left"/>
      <w:pPr>
        <w:ind w:left="970" w:hanging="360"/>
      </w:pPr>
      <w:rPr>
        <w:rFonts w:hint="default"/>
        <w:lang w:val="en-US" w:eastAsia="en-US" w:bidi="ar-SA"/>
      </w:rPr>
    </w:lvl>
    <w:lvl w:ilvl="2" w:tplc="1D0483DC">
      <w:numFmt w:val="bullet"/>
      <w:lvlText w:val="•"/>
      <w:lvlJc w:val="left"/>
      <w:pPr>
        <w:ind w:left="1460" w:hanging="360"/>
      </w:pPr>
      <w:rPr>
        <w:rFonts w:hint="default"/>
        <w:lang w:val="en-US" w:eastAsia="en-US" w:bidi="ar-SA"/>
      </w:rPr>
    </w:lvl>
    <w:lvl w:ilvl="3" w:tplc="252EA92A">
      <w:numFmt w:val="bullet"/>
      <w:lvlText w:val="•"/>
      <w:lvlJc w:val="left"/>
      <w:pPr>
        <w:ind w:left="1950" w:hanging="360"/>
      </w:pPr>
      <w:rPr>
        <w:rFonts w:hint="default"/>
        <w:lang w:val="en-US" w:eastAsia="en-US" w:bidi="ar-SA"/>
      </w:rPr>
    </w:lvl>
    <w:lvl w:ilvl="4" w:tplc="651A1ECE">
      <w:numFmt w:val="bullet"/>
      <w:lvlText w:val="•"/>
      <w:lvlJc w:val="left"/>
      <w:pPr>
        <w:ind w:left="2440" w:hanging="360"/>
      </w:pPr>
      <w:rPr>
        <w:rFonts w:hint="default"/>
        <w:lang w:val="en-US" w:eastAsia="en-US" w:bidi="ar-SA"/>
      </w:rPr>
    </w:lvl>
    <w:lvl w:ilvl="5" w:tplc="4314BB2E">
      <w:numFmt w:val="bullet"/>
      <w:lvlText w:val="•"/>
      <w:lvlJc w:val="left"/>
      <w:pPr>
        <w:ind w:left="2930" w:hanging="360"/>
      </w:pPr>
      <w:rPr>
        <w:rFonts w:hint="default"/>
        <w:lang w:val="en-US" w:eastAsia="en-US" w:bidi="ar-SA"/>
      </w:rPr>
    </w:lvl>
    <w:lvl w:ilvl="6" w:tplc="7A80197C">
      <w:numFmt w:val="bullet"/>
      <w:lvlText w:val="•"/>
      <w:lvlJc w:val="left"/>
      <w:pPr>
        <w:ind w:left="3420" w:hanging="360"/>
      </w:pPr>
      <w:rPr>
        <w:rFonts w:hint="default"/>
        <w:lang w:val="en-US" w:eastAsia="en-US" w:bidi="ar-SA"/>
      </w:rPr>
    </w:lvl>
    <w:lvl w:ilvl="7" w:tplc="EA44E296">
      <w:numFmt w:val="bullet"/>
      <w:lvlText w:val="•"/>
      <w:lvlJc w:val="left"/>
      <w:pPr>
        <w:ind w:left="3910" w:hanging="360"/>
      </w:pPr>
      <w:rPr>
        <w:rFonts w:hint="default"/>
        <w:lang w:val="en-US" w:eastAsia="en-US" w:bidi="ar-SA"/>
      </w:rPr>
    </w:lvl>
    <w:lvl w:ilvl="8" w:tplc="1430F994">
      <w:numFmt w:val="bullet"/>
      <w:lvlText w:val="•"/>
      <w:lvlJc w:val="left"/>
      <w:pPr>
        <w:ind w:left="4400" w:hanging="360"/>
      </w:pPr>
      <w:rPr>
        <w:rFonts w:hint="default"/>
        <w:lang w:val="en-US" w:eastAsia="en-US" w:bidi="ar-SA"/>
      </w:rPr>
    </w:lvl>
  </w:abstractNum>
  <w:abstractNum w:abstractNumId="13" w15:restartNumberingAfterBreak="0">
    <w:nsid w:val="65CB68F4"/>
    <w:multiLevelType w:val="multilevel"/>
    <w:tmpl w:val="274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93156"/>
    <w:multiLevelType w:val="multilevel"/>
    <w:tmpl w:val="BE8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23F45"/>
    <w:multiLevelType w:val="multilevel"/>
    <w:tmpl w:val="12C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7685A"/>
    <w:multiLevelType w:val="hybridMultilevel"/>
    <w:tmpl w:val="6A7C75B8"/>
    <w:lvl w:ilvl="0" w:tplc="5074DADA">
      <w:numFmt w:val="bullet"/>
      <w:lvlText w:val=""/>
      <w:lvlJc w:val="left"/>
      <w:pPr>
        <w:ind w:left="477" w:hanging="360"/>
      </w:pPr>
      <w:rPr>
        <w:rFonts w:ascii="Symbol" w:eastAsia="Times New Roman" w:hAnsi="Symbol" w:cs="Times New Roman" w:hint="default"/>
        <w:b/>
        <w:color w:val="5E0303"/>
      </w:rPr>
    </w:lvl>
    <w:lvl w:ilvl="1" w:tplc="041F0003" w:tentative="1">
      <w:start w:val="1"/>
      <w:numFmt w:val="bullet"/>
      <w:lvlText w:val="o"/>
      <w:lvlJc w:val="left"/>
      <w:pPr>
        <w:ind w:left="1197" w:hanging="360"/>
      </w:pPr>
      <w:rPr>
        <w:rFonts w:ascii="Courier New" w:hAnsi="Courier New" w:cs="Courier New" w:hint="default"/>
      </w:rPr>
    </w:lvl>
    <w:lvl w:ilvl="2" w:tplc="041F0005" w:tentative="1">
      <w:start w:val="1"/>
      <w:numFmt w:val="bullet"/>
      <w:lvlText w:val=""/>
      <w:lvlJc w:val="left"/>
      <w:pPr>
        <w:ind w:left="1917" w:hanging="360"/>
      </w:pPr>
      <w:rPr>
        <w:rFonts w:ascii="Wingdings" w:hAnsi="Wingdings" w:hint="default"/>
      </w:rPr>
    </w:lvl>
    <w:lvl w:ilvl="3" w:tplc="041F0001" w:tentative="1">
      <w:start w:val="1"/>
      <w:numFmt w:val="bullet"/>
      <w:lvlText w:val=""/>
      <w:lvlJc w:val="left"/>
      <w:pPr>
        <w:ind w:left="2637" w:hanging="360"/>
      </w:pPr>
      <w:rPr>
        <w:rFonts w:ascii="Symbol" w:hAnsi="Symbol" w:hint="default"/>
      </w:rPr>
    </w:lvl>
    <w:lvl w:ilvl="4" w:tplc="041F0003" w:tentative="1">
      <w:start w:val="1"/>
      <w:numFmt w:val="bullet"/>
      <w:lvlText w:val="o"/>
      <w:lvlJc w:val="left"/>
      <w:pPr>
        <w:ind w:left="3357" w:hanging="360"/>
      </w:pPr>
      <w:rPr>
        <w:rFonts w:ascii="Courier New" w:hAnsi="Courier New" w:cs="Courier New" w:hint="default"/>
      </w:rPr>
    </w:lvl>
    <w:lvl w:ilvl="5" w:tplc="041F0005" w:tentative="1">
      <w:start w:val="1"/>
      <w:numFmt w:val="bullet"/>
      <w:lvlText w:val=""/>
      <w:lvlJc w:val="left"/>
      <w:pPr>
        <w:ind w:left="4077" w:hanging="360"/>
      </w:pPr>
      <w:rPr>
        <w:rFonts w:ascii="Wingdings" w:hAnsi="Wingdings" w:hint="default"/>
      </w:rPr>
    </w:lvl>
    <w:lvl w:ilvl="6" w:tplc="041F0001" w:tentative="1">
      <w:start w:val="1"/>
      <w:numFmt w:val="bullet"/>
      <w:lvlText w:val=""/>
      <w:lvlJc w:val="left"/>
      <w:pPr>
        <w:ind w:left="4797" w:hanging="360"/>
      </w:pPr>
      <w:rPr>
        <w:rFonts w:ascii="Symbol" w:hAnsi="Symbol" w:hint="default"/>
      </w:rPr>
    </w:lvl>
    <w:lvl w:ilvl="7" w:tplc="041F0003" w:tentative="1">
      <w:start w:val="1"/>
      <w:numFmt w:val="bullet"/>
      <w:lvlText w:val="o"/>
      <w:lvlJc w:val="left"/>
      <w:pPr>
        <w:ind w:left="5517" w:hanging="360"/>
      </w:pPr>
      <w:rPr>
        <w:rFonts w:ascii="Courier New" w:hAnsi="Courier New" w:cs="Courier New" w:hint="default"/>
      </w:rPr>
    </w:lvl>
    <w:lvl w:ilvl="8" w:tplc="041F0005" w:tentative="1">
      <w:start w:val="1"/>
      <w:numFmt w:val="bullet"/>
      <w:lvlText w:val=""/>
      <w:lvlJc w:val="left"/>
      <w:pPr>
        <w:ind w:left="6237" w:hanging="360"/>
      </w:pPr>
      <w:rPr>
        <w:rFonts w:ascii="Wingdings" w:hAnsi="Wingdings" w:hint="default"/>
      </w:rPr>
    </w:lvl>
  </w:abstractNum>
  <w:abstractNum w:abstractNumId="17" w15:restartNumberingAfterBreak="0">
    <w:nsid w:val="726152B9"/>
    <w:multiLevelType w:val="multilevel"/>
    <w:tmpl w:val="77C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E679F"/>
    <w:multiLevelType w:val="multilevel"/>
    <w:tmpl w:val="2AA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E7BF4"/>
    <w:multiLevelType w:val="multilevel"/>
    <w:tmpl w:val="258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17"/>
  </w:num>
  <w:num w:numId="4">
    <w:abstractNumId w:val="7"/>
  </w:num>
  <w:num w:numId="5">
    <w:abstractNumId w:val="5"/>
  </w:num>
  <w:num w:numId="6">
    <w:abstractNumId w:val="10"/>
  </w:num>
  <w:num w:numId="7">
    <w:abstractNumId w:val="15"/>
  </w:num>
  <w:num w:numId="8">
    <w:abstractNumId w:val="4"/>
  </w:num>
  <w:num w:numId="9">
    <w:abstractNumId w:val="9"/>
  </w:num>
  <w:num w:numId="10">
    <w:abstractNumId w:val="8"/>
  </w:num>
  <w:num w:numId="11">
    <w:abstractNumId w:val="13"/>
  </w:num>
  <w:num w:numId="12">
    <w:abstractNumId w:val="6"/>
  </w:num>
  <w:num w:numId="13">
    <w:abstractNumId w:val="2"/>
  </w:num>
  <w:num w:numId="14">
    <w:abstractNumId w:val="3"/>
  </w:num>
  <w:num w:numId="15">
    <w:abstractNumId w:val="18"/>
  </w:num>
  <w:num w:numId="16">
    <w:abstractNumId w:val="19"/>
  </w:num>
  <w:num w:numId="17">
    <w:abstractNumId w:val="1"/>
  </w:num>
  <w:num w:numId="18">
    <w:abstractNumId w:val="14"/>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8B9"/>
    <w:rsid w:val="0002026D"/>
    <w:rsid w:val="00023B1F"/>
    <w:rsid w:val="00063034"/>
    <w:rsid w:val="000E38DA"/>
    <w:rsid w:val="00104F33"/>
    <w:rsid w:val="00120556"/>
    <w:rsid w:val="001728B9"/>
    <w:rsid w:val="001774A2"/>
    <w:rsid w:val="00183A6E"/>
    <w:rsid w:val="00216A34"/>
    <w:rsid w:val="00225878"/>
    <w:rsid w:val="00282DDD"/>
    <w:rsid w:val="002C1E26"/>
    <w:rsid w:val="002C5EFE"/>
    <w:rsid w:val="00307BD1"/>
    <w:rsid w:val="00330101"/>
    <w:rsid w:val="003374D2"/>
    <w:rsid w:val="00352629"/>
    <w:rsid w:val="00367BA6"/>
    <w:rsid w:val="00385C41"/>
    <w:rsid w:val="003C3EDB"/>
    <w:rsid w:val="00406AE8"/>
    <w:rsid w:val="00436CE7"/>
    <w:rsid w:val="00437877"/>
    <w:rsid w:val="00442424"/>
    <w:rsid w:val="00443BCF"/>
    <w:rsid w:val="00543370"/>
    <w:rsid w:val="00564443"/>
    <w:rsid w:val="005650F3"/>
    <w:rsid w:val="005B0169"/>
    <w:rsid w:val="00630601"/>
    <w:rsid w:val="0064608F"/>
    <w:rsid w:val="006616FD"/>
    <w:rsid w:val="006E6D22"/>
    <w:rsid w:val="006F2AA3"/>
    <w:rsid w:val="00705DAE"/>
    <w:rsid w:val="007707FB"/>
    <w:rsid w:val="007805CE"/>
    <w:rsid w:val="007C2FAA"/>
    <w:rsid w:val="00847017"/>
    <w:rsid w:val="008D01F8"/>
    <w:rsid w:val="008E14ED"/>
    <w:rsid w:val="008E287A"/>
    <w:rsid w:val="00951840"/>
    <w:rsid w:val="0095405D"/>
    <w:rsid w:val="009735A3"/>
    <w:rsid w:val="00987418"/>
    <w:rsid w:val="009A2A0E"/>
    <w:rsid w:val="00A1682B"/>
    <w:rsid w:val="00A64434"/>
    <w:rsid w:val="00A94236"/>
    <w:rsid w:val="00AD221D"/>
    <w:rsid w:val="00AE337C"/>
    <w:rsid w:val="00B00458"/>
    <w:rsid w:val="00B237B1"/>
    <w:rsid w:val="00B4623D"/>
    <w:rsid w:val="00B57290"/>
    <w:rsid w:val="00B6672A"/>
    <w:rsid w:val="00BA18E2"/>
    <w:rsid w:val="00BB730D"/>
    <w:rsid w:val="00BE0BA1"/>
    <w:rsid w:val="00BE2F10"/>
    <w:rsid w:val="00BF4ACB"/>
    <w:rsid w:val="00C4473B"/>
    <w:rsid w:val="00C756CA"/>
    <w:rsid w:val="00C974D0"/>
    <w:rsid w:val="00CE6B1C"/>
    <w:rsid w:val="00CE7868"/>
    <w:rsid w:val="00D24BEC"/>
    <w:rsid w:val="00D60CC9"/>
    <w:rsid w:val="00D61E9B"/>
    <w:rsid w:val="00D84558"/>
    <w:rsid w:val="00DB39EC"/>
    <w:rsid w:val="00DC4EA0"/>
    <w:rsid w:val="00DC5528"/>
    <w:rsid w:val="00DD2529"/>
    <w:rsid w:val="00DF2B18"/>
    <w:rsid w:val="00E10D0D"/>
    <w:rsid w:val="00E302B8"/>
    <w:rsid w:val="00E762AE"/>
    <w:rsid w:val="00E91614"/>
    <w:rsid w:val="00EB14D0"/>
    <w:rsid w:val="00F02180"/>
    <w:rsid w:val="00F03FB1"/>
    <w:rsid w:val="00F10D63"/>
    <w:rsid w:val="00FB2395"/>
    <w:rsid w:val="00FD07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4F062"/>
  <w15:docId w15:val="{53883AF2-411B-490F-BAC1-645C6CC8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0D0D"/>
    <w:rPr>
      <w:rFonts w:ascii="Times New Roman" w:eastAsia="Times New Roman" w:hAnsi="Times New Roman" w:cs="Times New Roman"/>
    </w:rPr>
  </w:style>
  <w:style w:type="paragraph" w:styleId="Balk1">
    <w:name w:val="heading 1"/>
    <w:basedOn w:val="Normal"/>
    <w:uiPriority w:val="1"/>
    <w:qFormat/>
    <w:pPr>
      <w:ind w:left="114"/>
      <w:jc w:val="both"/>
      <w:outlineLvl w:val="0"/>
    </w:pPr>
    <w:rPr>
      <w:b/>
      <w:bCs/>
      <w:color w:val="000000"/>
      <w:sz w:val="24"/>
      <w:szCs w:val="24"/>
    </w:rPr>
  </w:style>
  <w:style w:type="paragraph" w:styleId="Balk2">
    <w:name w:val="heading 2"/>
    <w:basedOn w:val="Normal"/>
    <w:uiPriority w:val="1"/>
    <w:qFormat/>
    <w:pPr>
      <w:ind w:left="114"/>
      <w:jc w:val="both"/>
      <w:outlineLvl w:val="1"/>
    </w:pPr>
    <w:rPr>
      <w:b/>
      <w:bCs/>
      <w:i/>
      <w:iCs/>
      <w:color w:val="000000"/>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pPr>
      <w:jc w:val="both"/>
    </w:pPr>
    <w:rPr>
      <w:sz w:val="24"/>
      <w:szCs w:val="24"/>
    </w:rPr>
  </w:style>
  <w:style w:type="paragraph" w:styleId="KonuBal">
    <w:name w:val="Title"/>
    <w:basedOn w:val="Normal"/>
    <w:link w:val="KonuBalChar"/>
    <w:uiPriority w:val="1"/>
    <w:qFormat/>
    <w:pPr>
      <w:spacing w:before="66"/>
      <w:ind w:left="2223" w:hanging="1227"/>
    </w:pPr>
    <w:rPr>
      <w:b/>
      <w:bCs/>
      <w:color w:val="000000"/>
      <w:sz w:val="40"/>
      <w:szCs w:val="40"/>
    </w:rPr>
  </w:style>
  <w:style w:type="paragraph" w:styleId="ListeParagraf">
    <w:name w:val="List Paragraph"/>
    <w:basedOn w:val="Normal"/>
    <w:uiPriority w:val="34"/>
    <w:qFormat/>
    <w:pPr>
      <w:spacing w:before="6"/>
      <w:ind w:left="474" w:right="38" w:hanging="360"/>
      <w:jc w:val="both"/>
    </w:pPr>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CE6B1C"/>
    <w:pPr>
      <w:tabs>
        <w:tab w:val="center" w:pos="4536"/>
        <w:tab w:val="right" w:pos="9072"/>
      </w:tabs>
    </w:pPr>
  </w:style>
  <w:style w:type="character" w:customStyle="1" w:styleId="stBilgiChar">
    <w:name w:val="Üst Bilgi Char"/>
    <w:basedOn w:val="VarsaylanParagrafYazTipi"/>
    <w:link w:val="stBilgi"/>
    <w:uiPriority w:val="99"/>
    <w:rsid w:val="00CE6B1C"/>
    <w:rPr>
      <w:rFonts w:ascii="Times New Roman" w:eastAsia="Times New Roman" w:hAnsi="Times New Roman" w:cs="Times New Roman"/>
    </w:rPr>
  </w:style>
  <w:style w:type="paragraph" w:styleId="AltBilgi">
    <w:name w:val="footer"/>
    <w:basedOn w:val="Normal"/>
    <w:link w:val="AltBilgiChar"/>
    <w:uiPriority w:val="99"/>
    <w:unhideWhenUsed/>
    <w:rsid w:val="00CE6B1C"/>
    <w:pPr>
      <w:tabs>
        <w:tab w:val="center" w:pos="4536"/>
        <w:tab w:val="right" w:pos="9072"/>
      </w:tabs>
    </w:pPr>
  </w:style>
  <w:style w:type="character" w:customStyle="1" w:styleId="AltBilgiChar">
    <w:name w:val="Alt Bilgi Char"/>
    <w:basedOn w:val="VarsaylanParagrafYazTipi"/>
    <w:link w:val="AltBilgi"/>
    <w:uiPriority w:val="99"/>
    <w:rsid w:val="00CE6B1C"/>
    <w:rPr>
      <w:rFonts w:ascii="Times New Roman" w:eastAsia="Times New Roman" w:hAnsi="Times New Roman" w:cs="Times New Roman"/>
    </w:rPr>
  </w:style>
  <w:style w:type="character" w:customStyle="1" w:styleId="KonuBalChar">
    <w:name w:val="Konu Başlığı Char"/>
    <w:basedOn w:val="VarsaylanParagrafYazTipi"/>
    <w:link w:val="KonuBal"/>
    <w:uiPriority w:val="1"/>
    <w:rsid w:val="00BA18E2"/>
    <w:rPr>
      <w:rFonts w:ascii="Times New Roman" w:eastAsia="Times New Roman" w:hAnsi="Times New Roman" w:cs="Times New Roman"/>
      <w:b/>
      <w:bCs/>
      <w:sz w:val="40"/>
      <w:szCs w:val="40"/>
    </w:rPr>
  </w:style>
  <w:style w:type="character" w:styleId="Gl">
    <w:name w:val="Strong"/>
    <w:basedOn w:val="VarsaylanParagrafYazTipi"/>
    <w:uiPriority w:val="22"/>
    <w:qFormat/>
    <w:rsid w:val="00225878"/>
    <w:rPr>
      <w:b/>
      <w:bCs/>
    </w:rPr>
  </w:style>
  <w:style w:type="character" w:customStyle="1" w:styleId="GvdeMetniChar">
    <w:name w:val="Gövde Metni Char"/>
    <w:basedOn w:val="VarsaylanParagrafYazTipi"/>
    <w:link w:val="GvdeMetni"/>
    <w:uiPriority w:val="1"/>
    <w:rsid w:val="00225878"/>
    <w:rPr>
      <w:rFonts w:ascii="Times New Roman" w:eastAsia="Times New Roman" w:hAnsi="Times New Roman" w:cs="Times New Roman"/>
      <w:sz w:val="24"/>
      <w:szCs w:val="24"/>
    </w:rPr>
  </w:style>
  <w:style w:type="table" w:styleId="TabloKlavuzu">
    <w:name w:val="Table Grid"/>
    <w:basedOn w:val="NormalTablo"/>
    <w:uiPriority w:val="39"/>
    <w:rsid w:val="00E10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5DAE"/>
    <w:pPr>
      <w:widowControl/>
      <w:autoSpaceDE/>
      <w:autoSpaceDN/>
      <w:spacing w:before="100" w:beforeAutospacing="1" w:after="100" w:afterAutospacing="1"/>
    </w:pPr>
    <w:rPr>
      <w:sz w:val="24"/>
      <w:szCs w:val="24"/>
      <w:lang w:val="tr-TR" w:eastAsia="tr-TR"/>
    </w:rPr>
  </w:style>
  <w:style w:type="character" w:styleId="Kpr">
    <w:name w:val="Hyperlink"/>
    <w:basedOn w:val="VarsaylanParagrafYazTipi"/>
    <w:uiPriority w:val="99"/>
    <w:unhideWhenUsed/>
    <w:rsid w:val="00987418"/>
    <w:rPr>
      <w:color w:val="0000FF" w:themeColor="hyperlink"/>
      <w:u w:val="single"/>
    </w:rPr>
  </w:style>
  <w:style w:type="character" w:customStyle="1" w:styleId="zmlenmeyenBahsetme1">
    <w:name w:val="Çözümlenmeyen Bahsetme1"/>
    <w:basedOn w:val="VarsaylanParagrafYazTipi"/>
    <w:uiPriority w:val="99"/>
    <w:semiHidden/>
    <w:unhideWhenUsed/>
    <w:rsid w:val="00987418"/>
    <w:rPr>
      <w:color w:val="605E5C"/>
      <w:shd w:val="clear" w:color="auto" w:fill="E1DFDD"/>
    </w:rPr>
  </w:style>
  <w:style w:type="paragraph" w:customStyle="1" w:styleId="5AnaMetin">
    <w:name w:val="5 Ana Metin"/>
    <w:link w:val="5AnaMetinChar"/>
    <w:qFormat/>
    <w:rsid w:val="00183A6E"/>
    <w:pPr>
      <w:widowControl/>
      <w:adjustRightInd w:val="0"/>
      <w:jc w:val="both"/>
    </w:pPr>
    <w:rPr>
      <w:rFonts w:ascii="Times New Roman" w:eastAsia="Times New Roman" w:hAnsi="Times New Roman" w:cs="Times New Roman"/>
      <w:color w:val="000000"/>
      <w:sz w:val="20"/>
      <w:szCs w:val="20"/>
      <w:lang w:val="tr-TR" w:eastAsia="tr-TR"/>
    </w:rPr>
  </w:style>
  <w:style w:type="character" w:customStyle="1" w:styleId="5AnaMetinChar">
    <w:name w:val="5 Ana Metin Char"/>
    <w:basedOn w:val="VarsaylanParagrafYazTipi"/>
    <w:link w:val="5AnaMetin"/>
    <w:rsid w:val="00183A6E"/>
    <w:rPr>
      <w:rFonts w:ascii="Times New Roman" w:eastAsia="Times New Roman" w:hAnsi="Times New Roman" w:cs="Times New Roman"/>
      <w:color w:val="000000"/>
      <w:sz w:val="20"/>
      <w:szCs w:val="20"/>
      <w:lang w:val="tr-TR" w:eastAsia="tr-TR"/>
    </w:rPr>
  </w:style>
  <w:style w:type="paragraph" w:customStyle="1" w:styleId="8ekilTablosimleri">
    <w:name w:val="8 Şekil&amp;Tablo İsimleri"/>
    <w:link w:val="8ekilTablosimleriChar"/>
    <w:qFormat/>
    <w:rsid w:val="00183A6E"/>
    <w:pPr>
      <w:widowControl/>
      <w:autoSpaceDE/>
      <w:autoSpaceDN/>
      <w:jc w:val="both"/>
    </w:pPr>
    <w:rPr>
      <w:rFonts w:ascii="Times New Roman" w:eastAsia="Times New Roman" w:hAnsi="Times New Roman" w:cs="Times New Roman"/>
      <w:sz w:val="16"/>
      <w:szCs w:val="16"/>
      <w:lang w:val="tr-TR" w:eastAsia="tr-TR"/>
    </w:rPr>
  </w:style>
  <w:style w:type="character" w:customStyle="1" w:styleId="8ekilTablosimleriChar">
    <w:name w:val="8 Şekil&amp;Tablo İsimleri Char"/>
    <w:basedOn w:val="VarsaylanParagrafYazTipi"/>
    <w:link w:val="8ekilTablosimleri"/>
    <w:rsid w:val="00183A6E"/>
    <w:rPr>
      <w:rFonts w:ascii="Times New Roman" w:eastAsia="Times New Roman" w:hAnsi="Times New Roman" w:cs="Times New Roman"/>
      <w:sz w:val="16"/>
      <w:szCs w:val="16"/>
      <w:lang w:val="tr-TR" w:eastAsia="tr-TR"/>
    </w:rPr>
  </w:style>
  <w:style w:type="paragraph" w:styleId="ResimYazs">
    <w:name w:val="caption"/>
    <w:basedOn w:val="8ekilTablosimleri"/>
    <w:next w:val="Normal"/>
    <w:unhideWhenUsed/>
    <w:qFormat/>
    <w:rsid w:val="00183A6E"/>
    <w:rPr>
      <w:bCs/>
      <w:szCs w:val="18"/>
    </w:rPr>
  </w:style>
  <w:style w:type="table" w:styleId="DzTablo2">
    <w:name w:val="Plain Table 2"/>
    <w:basedOn w:val="NormalTablo"/>
    <w:uiPriority w:val="42"/>
    <w:rsid w:val="00183A6E"/>
    <w:pPr>
      <w:widowControl/>
      <w:autoSpaceDE/>
      <w:autoSpaceDN/>
    </w:pPr>
    <w:rPr>
      <w:rFonts w:ascii="Times New Roman" w:eastAsia="Times New Roman" w:hAnsi="Times New Roman" w:cs="Times New Roman"/>
      <w:sz w:val="20"/>
      <w:szCs w:val="20"/>
      <w:lang w:val="tr-TR" w:eastAsia="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3AltBalk">
    <w:name w:val="3 Alt Başlık"/>
    <w:qFormat/>
    <w:rsid w:val="00B6672A"/>
    <w:pPr>
      <w:widowControl/>
      <w:autoSpaceDE/>
      <w:autoSpaceDN/>
      <w:jc w:val="both"/>
    </w:pPr>
    <w:rPr>
      <w:rFonts w:ascii="Times New Roman" w:eastAsia="Times New Roman" w:hAnsi="Times New Roman" w:cs="Times New Roman"/>
      <w:b/>
      <w:sz w:val="20"/>
      <w:szCs w:val="20"/>
      <w:lang w:val="en-GB" w:eastAsia="tr-TR"/>
    </w:rPr>
  </w:style>
  <w:style w:type="character" w:styleId="zmlenmeyenBahsetme">
    <w:name w:val="Unresolved Mention"/>
    <w:basedOn w:val="VarsaylanParagrafYazTipi"/>
    <w:uiPriority w:val="99"/>
    <w:semiHidden/>
    <w:unhideWhenUsed/>
    <w:rsid w:val="002C1E26"/>
    <w:rPr>
      <w:color w:val="605E5C"/>
      <w:shd w:val="clear" w:color="auto" w:fill="E1DFDD"/>
    </w:rPr>
  </w:style>
  <w:style w:type="paragraph" w:customStyle="1" w:styleId="SectionTitle">
    <w:name w:val="Section Title"/>
    <w:next w:val="MainText"/>
    <w:qFormat/>
    <w:rsid w:val="00B4623D"/>
    <w:pPr>
      <w:keepNext/>
      <w:widowControl/>
      <w:autoSpaceDE/>
      <w:autoSpaceDN/>
      <w:spacing w:before="360" w:after="240"/>
    </w:pPr>
    <w:rPr>
      <w:rFonts w:ascii="Times New Roman" w:hAnsi="Times New Roman" w:cs="Times New Roman"/>
      <w:b/>
      <w:color w:val="000000"/>
      <w:sz w:val="22"/>
      <w:lang w:val="tr-TR"/>
    </w:rPr>
  </w:style>
  <w:style w:type="paragraph" w:customStyle="1" w:styleId="SubTitle">
    <w:name w:val="Sub Title"/>
    <w:qFormat/>
    <w:rsid w:val="00B4623D"/>
    <w:pPr>
      <w:keepNext/>
      <w:widowControl/>
      <w:autoSpaceDE/>
      <w:autoSpaceDN/>
      <w:spacing w:before="360" w:after="120"/>
    </w:pPr>
    <w:rPr>
      <w:rFonts w:ascii="Times New Roman" w:hAnsi="Times New Roman" w:cs="Times New Roman"/>
      <w:b/>
      <w:color w:val="000000"/>
      <w:sz w:val="20"/>
      <w:lang w:val="tr-TR"/>
    </w:rPr>
  </w:style>
  <w:style w:type="paragraph" w:customStyle="1" w:styleId="TableCaption">
    <w:name w:val="Table Caption"/>
    <w:qFormat/>
    <w:rsid w:val="00B4623D"/>
    <w:pPr>
      <w:widowControl/>
      <w:autoSpaceDE/>
      <w:autoSpaceDN/>
      <w:jc w:val="center"/>
    </w:pPr>
    <w:rPr>
      <w:rFonts w:ascii="Times New Roman" w:hAnsi="Times New Roman" w:cs="Times New Roman"/>
      <w:sz w:val="20"/>
      <w:szCs w:val="24"/>
      <w:lang w:val="tr-TR"/>
    </w:rPr>
  </w:style>
  <w:style w:type="paragraph" w:customStyle="1" w:styleId="FigureCaption">
    <w:name w:val="Figure Caption"/>
    <w:basedOn w:val="Normal"/>
    <w:qFormat/>
    <w:rsid w:val="00B4623D"/>
    <w:pPr>
      <w:widowControl/>
      <w:autoSpaceDE/>
      <w:autoSpaceDN/>
      <w:jc w:val="center"/>
    </w:pPr>
    <w:rPr>
      <w:rFonts w:eastAsiaTheme="minorHAnsi"/>
      <w:b w:val="0"/>
      <w:sz w:val="20"/>
      <w:lang w:val="tr-TR"/>
    </w:rPr>
  </w:style>
  <w:style w:type="paragraph" w:customStyle="1" w:styleId="MainText">
    <w:name w:val="Main Text"/>
    <w:qFormat/>
    <w:rsid w:val="00B4623D"/>
    <w:pPr>
      <w:widowControl/>
      <w:autoSpaceDE/>
      <w:autoSpaceDN/>
      <w:spacing w:after="120" w:line="250" w:lineRule="auto"/>
      <w:ind w:firstLine="0"/>
      <w:jc w:val="both"/>
    </w:pPr>
    <w:rPr>
      <w:rFonts w:ascii="Times New Roman" w:hAnsi="Times New Roman" w:cs="Times New Roman"/>
      <w:sz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48479">
      <w:bodyDiv w:val="1"/>
      <w:marLeft w:val="0"/>
      <w:marRight w:val="0"/>
      <w:marTop w:val="0"/>
      <w:marBottom w:val="0"/>
      <w:divBdr>
        <w:top w:val="none" w:sz="0" w:space="0" w:color="auto"/>
        <w:left w:val="none" w:sz="0" w:space="0" w:color="auto"/>
        <w:bottom w:val="none" w:sz="0" w:space="0" w:color="auto"/>
        <w:right w:val="none" w:sz="0" w:space="0" w:color="auto"/>
      </w:divBdr>
    </w:div>
    <w:div w:id="90275481">
      <w:bodyDiv w:val="1"/>
      <w:marLeft w:val="0"/>
      <w:marRight w:val="0"/>
      <w:marTop w:val="0"/>
      <w:marBottom w:val="0"/>
      <w:divBdr>
        <w:top w:val="none" w:sz="0" w:space="0" w:color="auto"/>
        <w:left w:val="none" w:sz="0" w:space="0" w:color="auto"/>
        <w:bottom w:val="none" w:sz="0" w:space="0" w:color="auto"/>
        <w:right w:val="none" w:sz="0" w:space="0" w:color="auto"/>
      </w:divBdr>
    </w:div>
    <w:div w:id="181941366">
      <w:bodyDiv w:val="1"/>
      <w:marLeft w:val="0"/>
      <w:marRight w:val="0"/>
      <w:marTop w:val="0"/>
      <w:marBottom w:val="0"/>
      <w:divBdr>
        <w:top w:val="none" w:sz="0" w:space="0" w:color="auto"/>
        <w:left w:val="none" w:sz="0" w:space="0" w:color="auto"/>
        <w:bottom w:val="none" w:sz="0" w:space="0" w:color="auto"/>
        <w:right w:val="none" w:sz="0" w:space="0" w:color="auto"/>
      </w:divBdr>
    </w:div>
    <w:div w:id="577985423">
      <w:bodyDiv w:val="1"/>
      <w:marLeft w:val="0"/>
      <w:marRight w:val="0"/>
      <w:marTop w:val="0"/>
      <w:marBottom w:val="0"/>
      <w:divBdr>
        <w:top w:val="none" w:sz="0" w:space="0" w:color="auto"/>
        <w:left w:val="none" w:sz="0" w:space="0" w:color="auto"/>
        <w:bottom w:val="none" w:sz="0" w:space="0" w:color="auto"/>
        <w:right w:val="none" w:sz="0" w:space="0" w:color="auto"/>
      </w:divBdr>
    </w:div>
    <w:div w:id="769592110">
      <w:bodyDiv w:val="1"/>
      <w:marLeft w:val="0"/>
      <w:marRight w:val="0"/>
      <w:marTop w:val="0"/>
      <w:marBottom w:val="0"/>
      <w:divBdr>
        <w:top w:val="none" w:sz="0" w:space="0" w:color="auto"/>
        <w:left w:val="none" w:sz="0" w:space="0" w:color="auto"/>
        <w:bottom w:val="none" w:sz="0" w:space="0" w:color="auto"/>
        <w:right w:val="none" w:sz="0" w:space="0" w:color="auto"/>
      </w:divBdr>
    </w:div>
    <w:div w:id="872352927">
      <w:bodyDiv w:val="1"/>
      <w:marLeft w:val="0"/>
      <w:marRight w:val="0"/>
      <w:marTop w:val="0"/>
      <w:marBottom w:val="0"/>
      <w:divBdr>
        <w:top w:val="none" w:sz="0" w:space="0" w:color="auto"/>
        <w:left w:val="none" w:sz="0" w:space="0" w:color="auto"/>
        <w:bottom w:val="none" w:sz="0" w:space="0" w:color="auto"/>
        <w:right w:val="none" w:sz="0" w:space="0" w:color="auto"/>
      </w:divBdr>
    </w:div>
    <w:div w:id="926572431">
      <w:bodyDiv w:val="1"/>
      <w:marLeft w:val="0"/>
      <w:marRight w:val="0"/>
      <w:marTop w:val="0"/>
      <w:marBottom w:val="0"/>
      <w:divBdr>
        <w:top w:val="none" w:sz="0" w:space="0" w:color="auto"/>
        <w:left w:val="none" w:sz="0" w:space="0" w:color="auto"/>
        <w:bottom w:val="none" w:sz="0" w:space="0" w:color="auto"/>
        <w:right w:val="none" w:sz="0" w:space="0" w:color="auto"/>
      </w:divBdr>
    </w:div>
    <w:div w:id="1096824757">
      <w:bodyDiv w:val="1"/>
      <w:marLeft w:val="0"/>
      <w:marRight w:val="0"/>
      <w:marTop w:val="0"/>
      <w:marBottom w:val="0"/>
      <w:divBdr>
        <w:top w:val="none" w:sz="0" w:space="0" w:color="auto"/>
        <w:left w:val="none" w:sz="0" w:space="0" w:color="auto"/>
        <w:bottom w:val="none" w:sz="0" w:space="0" w:color="auto"/>
        <w:right w:val="none" w:sz="0" w:space="0" w:color="auto"/>
      </w:divBdr>
    </w:div>
    <w:div w:id="1128086472">
      <w:bodyDiv w:val="1"/>
      <w:marLeft w:val="0"/>
      <w:marRight w:val="0"/>
      <w:marTop w:val="0"/>
      <w:marBottom w:val="0"/>
      <w:divBdr>
        <w:top w:val="none" w:sz="0" w:space="0" w:color="auto"/>
        <w:left w:val="none" w:sz="0" w:space="0" w:color="auto"/>
        <w:bottom w:val="none" w:sz="0" w:space="0" w:color="auto"/>
        <w:right w:val="none" w:sz="0" w:space="0" w:color="auto"/>
      </w:divBdr>
    </w:div>
    <w:div w:id="1196388400">
      <w:bodyDiv w:val="1"/>
      <w:marLeft w:val="0"/>
      <w:marRight w:val="0"/>
      <w:marTop w:val="0"/>
      <w:marBottom w:val="0"/>
      <w:divBdr>
        <w:top w:val="none" w:sz="0" w:space="0" w:color="auto"/>
        <w:left w:val="none" w:sz="0" w:space="0" w:color="auto"/>
        <w:bottom w:val="none" w:sz="0" w:space="0" w:color="auto"/>
        <w:right w:val="none" w:sz="0" w:space="0" w:color="auto"/>
      </w:divBdr>
    </w:div>
    <w:div w:id="1354840604">
      <w:bodyDiv w:val="1"/>
      <w:marLeft w:val="0"/>
      <w:marRight w:val="0"/>
      <w:marTop w:val="0"/>
      <w:marBottom w:val="0"/>
      <w:divBdr>
        <w:top w:val="none" w:sz="0" w:space="0" w:color="auto"/>
        <w:left w:val="none" w:sz="0" w:space="0" w:color="auto"/>
        <w:bottom w:val="none" w:sz="0" w:space="0" w:color="auto"/>
        <w:right w:val="none" w:sz="0" w:space="0" w:color="auto"/>
      </w:divBdr>
    </w:div>
    <w:div w:id="1376391625">
      <w:bodyDiv w:val="1"/>
      <w:marLeft w:val="0"/>
      <w:marRight w:val="0"/>
      <w:marTop w:val="0"/>
      <w:marBottom w:val="0"/>
      <w:divBdr>
        <w:top w:val="none" w:sz="0" w:space="0" w:color="auto"/>
        <w:left w:val="none" w:sz="0" w:space="0" w:color="auto"/>
        <w:bottom w:val="none" w:sz="0" w:space="0" w:color="auto"/>
        <w:right w:val="none" w:sz="0" w:space="0" w:color="auto"/>
      </w:divBdr>
    </w:div>
    <w:div w:id="1478107638">
      <w:bodyDiv w:val="1"/>
      <w:marLeft w:val="0"/>
      <w:marRight w:val="0"/>
      <w:marTop w:val="0"/>
      <w:marBottom w:val="0"/>
      <w:divBdr>
        <w:top w:val="none" w:sz="0" w:space="0" w:color="auto"/>
        <w:left w:val="none" w:sz="0" w:space="0" w:color="auto"/>
        <w:bottom w:val="none" w:sz="0" w:space="0" w:color="auto"/>
        <w:right w:val="none" w:sz="0" w:space="0" w:color="auto"/>
      </w:divBdr>
    </w:div>
    <w:div w:id="1651864624">
      <w:bodyDiv w:val="1"/>
      <w:marLeft w:val="0"/>
      <w:marRight w:val="0"/>
      <w:marTop w:val="0"/>
      <w:marBottom w:val="0"/>
      <w:divBdr>
        <w:top w:val="none" w:sz="0" w:space="0" w:color="auto"/>
        <w:left w:val="none" w:sz="0" w:space="0" w:color="auto"/>
        <w:bottom w:val="none" w:sz="0" w:space="0" w:color="auto"/>
        <w:right w:val="none" w:sz="0" w:space="0" w:color="auto"/>
      </w:divBdr>
    </w:div>
    <w:div w:id="1659992904">
      <w:bodyDiv w:val="1"/>
      <w:marLeft w:val="0"/>
      <w:marRight w:val="0"/>
      <w:marTop w:val="0"/>
      <w:marBottom w:val="0"/>
      <w:divBdr>
        <w:top w:val="none" w:sz="0" w:space="0" w:color="auto"/>
        <w:left w:val="none" w:sz="0" w:space="0" w:color="auto"/>
        <w:bottom w:val="none" w:sz="0" w:space="0" w:color="auto"/>
        <w:right w:val="none" w:sz="0" w:space="0" w:color="auto"/>
      </w:divBdr>
    </w:div>
    <w:div w:id="1767192158">
      <w:bodyDiv w:val="1"/>
      <w:marLeft w:val="0"/>
      <w:marRight w:val="0"/>
      <w:marTop w:val="0"/>
      <w:marBottom w:val="0"/>
      <w:divBdr>
        <w:top w:val="none" w:sz="0" w:space="0" w:color="auto"/>
        <w:left w:val="none" w:sz="0" w:space="0" w:color="auto"/>
        <w:bottom w:val="none" w:sz="0" w:space="0" w:color="auto"/>
        <w:right w:val="none" w:sz="0" w:space="0" w:color="auto"/>
      </w:divBdr>
    </w:div>
    <w:div w:id="1975910747">
      <w:bodyDiv w:val="1"/>
      <w:marLeft w:val="0"/>
      <w:marRight w:val="0"/>
      <w:marTop w:val="0"/>
      <w:marBottom w:val="0"/>
      <w:divBdr>
        <w:top w:val="none" w:sz="0" w:space="0" w:color="auto"/>
        <w:left w:val="none" w:sz="0" w:space="0" w:color="auto"/>
        <w:bottom w:val="none" w:sz="0" w:space="0" w:color="auto"/>
        <w:right w:val="none" w:sz="0" w:space="0" w:color="auto"/>
      </w:divBdr>
    </w:div>
    <w:div w:id="2053769930">
      <w:bodyDiv w:val="1"/>
      <w:marLeft w:val="0"/>
      <w:marRight w:val="0"/>
      <w:marTop w:val="0"/>
      <w:marBottom w:val="0"/>
      <w:divBdr>
        <w:top w:val="none" w:sz="0" w:space="0" w:color="auto"/>
        <w:left w:val="none" w:sz="0" w:space="0" w:color="auto"/>
        <w:bottom w:val="none" w:sz="0" w:space="0" w:color="auto"/>
        <w:right w:val="none" w:sz="0" w:space="0" w:color="auto"/>
      </w:divBdr>
    </w:div>
    <w:div w:id="2108844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OSi03</b:Tag>
    <b:SourceType>Misc</b:SourceType>
    <b:Guid>{172A9B8D-7074-428D-8BE9-F673A9475D4F}</b:Guid>
    <b:Title>Veri madenciliği</b:Title>
    <b:Year>2003</b:Year>
    <b:City>Konya</b:City>
    <b:Publisher>Selçuk Üniversitesi, Fen Bilimleri Enstitüsü</b:Publisher>
    <b:Author>
      <b:Author>
        <b:NameList>
          <b:Person>
            <b:Last>İnan</b:Last>
            <b:First>O.</b:First>
          </b:Person>
        </b:NameList>
      </b:Author>
    </b:Author>
    <b:RefOrder>1</b:RefOrder>
  </b:Source>
  <b:Source>
    <b:Tag>AKa06</b:Tag>
    <b:SourceType>Report</b:SourceType>
    <b:Guid>{CCF5534B-505B-479A-A152-9722D4483FC8}</b:Guid>
    <b:Author>
      <b:Author>
        <b:NameList>
          <b:Person>
            <b:Last>Kalikov</b:Last>
            <b:First>Anarberk</b:First>
          </b:Person>
        </b:NameList>
      </b:Author>
    </b:Author>
    <b:Title>Veri Madenciliği ve Bir E-Ticaret Uygulaması, Yüksek Lisans Tezi</b:Title>
    <b:Year>2006</b:Year>
    <b:Publisher>Gazi Üniversitesi, Fen Bilimleri Enstitüsü</b:Publisher>
    <b:RefOrder>2</b:RefOrder>
  </b:Source>
  <b:Source>
    <b:Tag>Mar13</b:Tag>
    <b:SourceType>DocumentFromInternetSite</b:SourceType>
    <b:Guid>{D2439438-F7D2-4AE0-8EBA-95BB5FDE2692}</b:Guid>
    <b:Title>RFID Journal Home Linda</b:Title>
    <b:Year>2013</b:Year>
    <b:Author>
      <b:Author>
        <b:NameList>
          <b:Person>
            <b:Last>Roberti</b:Last>
            <b:First>Mark</b:First>
          </b:Person>
        </b:NameList>
      </b:Author>
    </b:Author>
    <b:InternetSiteTitle>Wal-Mart Begins RFID Rollout</b:InternetSiteTitle>
    <b:Month>Ekim</b:Month>
    <b:Day>16</b:Day>
    <b:URL>http://www.rfidjournal.com/articles/view?926#sthash.aNglf57U.dpuf</b:URL>
    <b:RefOrder>3</b:RefOrder>
  </b:Source>
  <b:Source>
    <b:Tag>Üna00</b:Tag>
    <b:SourceType>Book</b:SourceType>
    <b:Guid>{E64212E5-A759-441A-9E25-B052B47F2743}</b:Guid>
    <b:Title>Veritabanı Sistemleri</b:Title>
    <b:Year>2000</b:Year>
    <b:Author>
      <b:Author>
        <b:NameList>
          <b:Person>
            <b:Last>Yarımağan</b:Last>
            <b:First>Ünal</b:First>
          </b:Person>
        </b:NameList>
      </b:Author>
    </b:Author>
    <b:City>Ankara</b:City>
    <b:Publisher>Akademi Yayınevi</b:Publisher>
    <b:RefOrder>4</b:RefOrder>
  </b:Source>
  <b:Source>
    <b:Tag>Adr97</b:Tag>
    <b:SourceType>Book</b:SourceType>
    <b:Guid>{8FF0A25E-0FBC-4E68-9092-32F108B06734}</b:Guid>
    <b:Title>Data Mining</b:Title>
    <b:Year>1997</b:Year>
    <b:Author>
      <b:Author>
        <b:NameList>
          <b:Person>
            <b:Last>Adriaans</b:Last>
            <b:First>P.</b:First>
          </b:Person>
          <b:Person>
            <b:Last>Zantinge</b:Last>
            <b:First>D.</b:First>
          </b:Person>
        </b:NameList>
      </b:Author>
    </b:Author>
    <b:City>Boston</b:City>
    <b:Publisher>Addison Wesley Longman Publishing</b:Publisher>
    <b:StateProvince>MA</b:StateProvince>
    <b:CountryRegion>USA</b:CountryRegion>
    <b:RefOrder>5</b:RefOrder>
  </b:Source>
</b:Sources>
</file>

<file path=customXml/itemProps1.xml><?xml version="1.0" encoding="utf-8"?>
<ds:datastoreItem xmlns:ds="http://schemas.openxmlformats.org/officeDocument/2006/customXml" ds:itemID="{DA6DEB6D-8227-42CE-A079-91A303355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3</Pages>
  <Words>915</Words>
  <Characters>5222</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48</cp:revision>
  <cp:lastPrinted>2025-09-30T10:30:00Z</cp:lastPrinted>
  <dcterms:created xsi:type="dcterms:W3CDTF">2025-09-29T11:35:00Z</dcterms:created>
  <dcterms:modified xsi:type="dcterms:W3CDTF">2026-06-02T11:58:00Z</dcterms:modified>
  <dc:creator/>
  <dc:title>Composition Based Estimation of Curie Temperature in Gd Containing RE Co Al Metallic Glasses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Adobe InDesign 20.5 (Windows)</vt:lpwstr>
  </property>
  <property fmtid="{D5CDD505-2E9C-101B-9397-08002B2CF9AE}" pid="4" name="LastSaved">
    <vt:filetime>2025-09-29T00:00:00Z</vt:filetime>
  </property>
  <property fmtid="{D5CDD505-2E9C-101B-9397-08002B2CF9AE}" pid="5" name="Producer">
    <vt:lpwstr>Adobe PDF Library 17.0</vt:lpwstr>
  </property>
</Properties>
</file>