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C8EBB" w14:textId="77777777" w:rsidR="00A6311E" w:rsidRDefault="00B12F3E">
      <w:pPr>
        <w:spacing w:before="1800"/>
        <w:jc w:val="center"/>
      </w:pPr>
      <w:r>
        <w:rPr>
          <w:b/>
          <w:color w:val="1F4E79"/>
          <w:sz w:val="44"/>
        </w:rPr>
        <w:t>Public Attention, Market Sentiment, and Short-Term Bitcoin Market Behavior</w:t>
      </w:r>
    </w:p>
    <w:p w14:paraId="2E8C70D4" w14:textId="77777777" w:rsidR="00A6311E" w:rsidRDefault="00B12F3E">
      <w:pPr>
        <w:jc w:val="center"/>
      </w:pPr>
      <w:r>
        <w:rPr>
          <w:b/>
          <w:color w:val="595959"/>
          <w:sz w:val="30"/>
        </w:rPr>
        <w:t>Using Google Trends and Crypto Fear &amp; Greed Index Signals</w:t>
      </w:r>
    </w:p>
    <w:p w14:paraId="5CD14723" w14:textId="77777777" w:rsidR="00A6311E" w:rsidRDefault="00B12F3E">
      <w:pPr>
        <w:spacing w:before="720"/>
        <w:jc w:val="center"/>
      </w:pPr>
      <w:r>
        <w:rPr>
          <w:sz w:val="24"/>
        </w:rPr>
        <w:t>Course: DSA 210 – Introduction to Data Science</w:t>
      </w:r>
      <w:r>
        <w:rPr>
          <w:sz w:val="24"/>
        </w:rPr>
        <w:br/>
        <w:t>Term: Spring 2025–2026</w:t>
      </w:r>
      <w:r>
        <w:rPr>
          <w:sz w:val="24"/>
        </w:rPr>
        <w:br/>
        <w:t>Author: Kaan Tanıdır</w:t>
      </w:r>
      <w:r>
        <w:rPr>
          <w:sz w:val="24"/>
        </w:rPr>
        <w:br/>
      </w:r>
      <w:r>
        <w:rPr>
          <w:sz w:val="24"/>
        </w:rPr>
        <w:t>University: Sabancı University</w:t>
      </w:r>
      <w:r>
        <w:rPr>
          <w:sz w:val="24"/>
        </w:rPr>
        <w:br/>
        <w:t>Date: May 2026</w:t>
      </w:r>
      <w:r>
        <w:rPr>
          <w:sz w:val="24"/>
        </w:rPr>
        <w:br/>
      </w:r>
    </w:p>
    <w:p w14:paraId="63A2E68D" w14:textId="77777777" w:rsidR="00A6311E" w:rsidRDefault="00B12F3E">
      <w:r>
        <w:br w:type="page"/>
      </w:r>
    </w:p>
    <w:p w14:paraId="7B738B15" w14:textId="77777777" w:rsidR="00A6311E" w:rsidRDefault="00B12F3E">
      <w:pPr>
        <w:pStyle w:val="Balk1"/>
      </w:pPr>
      <w:r>
        <w:lastRenderedPageBreak/>
        <w:t>Abstract</w:t>
      </w:r>
    </w:p>
    <w:p w14:paraId="1AAB98FF" w14:textId="77777777" w:rsidR="00A6311E" w:rsidRDefault="00B12F3E">
      <w:r>
        <w:t>This project investigates whether public attention and market sentiment indicators can improve short-term Bitcoin direction prediction and help explain Bitcoin market volatility. Historical Bitcoin market data from CoinGecko is enriched with Google Trends search-interest data and the Alternative.me Crypto Fear &amp; Greed Index. The project applies a full data science pipeline including data collection, preprocessing, feature engineering, exploratory data analysis, hypothesis testing, and supervised machine lea</w:t>
      </w:r>
      <w:r>
        <w:t>rning. The results show that next-day Bitcoin direction remains difficult to predict, even after adding attention and sentiment variables. However, Google Trends shows a stronger relationship with 7-day volatility than with daily returns, suggesting that public attention may be more informative about market turbulence than short-term directional movement.</w:t>
      </w:r>
    </w:p>
    <w:p w14:paraId="4419258F" w14:textId="77777777" w:rsidR="00A6311E" w:rsidRDefault="00B12F3E">
      <w:pPr>
        <w:pStyle w:val="Balk1"/>
      </w:pPr>
      <w:r>
        <w:t>1. Introduction and Motivation</w:t>
      </w:r>
    </w:p>
    <w:p w14:paraId="13C2BE43" w14:textId="77777777" w:rsidR="00A6311E" w:rsidRDefault="00B12F3E">
      <w:r>
        <w:t>Bitcoin is one of the most visible and volatile financial assets in the cryptocurrency market. Its price behavior is often discussed in relation to public attention, investor sentiment, and sudden changes in market expectations. Because Bitcoin receives substantial search and media attention, it provides a useful case for studying whether publicly observable attention and sentiment indicators can help explain short-term market behavior.</w:t>
      </w:r>
    </w:p>
    <w:p w14:paraId="3109C59D" w14:textId="77777777" w:rsidR="00A6311E" w:rsidRDefault="00B12F3E">
      <w:r>
        <w:t>The initial version of this project focused on whether Google Trends search interest could improve next-day Bitcoin direction prediction. After peer feedback, the project was strengthened by reframing the analysis from a simple Bitcoin prediction task into a broader study of public attention, market sentiment, direction prediction, and volatility behavior. A third data source, the Alternative.me Crypto Fear &amp; Greed Index, was added as a sentiment-based enrichment source.</w:t>
      </w:r>
    </w:p>
    <w:p w14:paraId="5EEEF77E" w14:textId="77777777" w:rsidR="00A6311E" w:rsidRDefault="00B12F3E">
      <w:pPr>
        <w:pStyle w:val="Balk1"/>
      </w:pPr>
      <w:r>
        <w:t>2. Research Questions</w:t>
      </w:r>
    </w:p>
    <w:p w14:paraId="1099865A" w14:textId="77777777" w:rsidR="00A6311E" w:rsidRDefault="00B12F3E">
      <w:pPr>
        <w:pStyle w:val="ListeMaddemi"/>
      </w:pPr>
      <w:r>
        <w:t>RQ1: Are public attention and sentiment indicators associated with Bitcoin returns and volatility?</w:t>
      </w:r>
    </w:p>
    <w:p w14:paraId="6CC3DB8C" w14:textId="77777777" w:rsidR="00A6311E" w:rsidRDefault="00B12F3E">
      <w:pPr>
        <w:pStyle w:val="ListeMaddemi"/>
      </w:pPr>
      <w:r>
        <w:t>RQ2: Does Google Trends search interest improve next-day Bitcoin direction prediction compared with market-only models?</w:t>
      </w:r>
    </w:p>
    <w:p w14:paraId="30CA742F" w14:textId="77777777" w:rsidR="00A6311E" w:rsidRDefault="00B12F3E">
      <w:pPr>
        <w:pStyle w:val="ListeMaddemi"/>
      </w:pPr>
      <w:r>
        <w:t>RQ3: Does the Alternative.me Crypto Fear &amp; Greed Index add useful sentiment information to the modeling dataset?</w:t>
      </w:r>
    </w:p>
    <w:p w14:paraId="61D7FF52" w14:textId="77777777" w:rsidR="00A6311E" w:rsidRDefault="00B12F3E">
      <w:pPr>
        <w:pStyle w:val="ListeMaddemi"/>
      </w:pPr>
      <w:r>
        <w:t>RQ4: Are attention and sentiment indicators more useful for explaining volatility than for predicting next-day direction?</w:t>
      </w:r>
    </w:p>
    <w:p w14:paraId="366ADB3C" w14:textId="77777777" w:rsidR="00A6311E" w:rsidRDefault="00B12F3E">
      <w:pPr>
        <w:pStyle w:val="Balk1"/>
      </w:pPr>
      <w:r>
        <w:t>3. Data Sources</w:t>
      </w:r>
    </w:p>
    <w:p w14:paraId="3C695C99" w14:textId="77777777" w:rsidR="00A6311E" w:rsidRDefault="00B12F3E">
      <w:pPr>
        <w:pStyle w:val="Balk2"/>
      </w:pPr>
      <w:r>
        <w:t>3.1 CoinGecko Bitcoin Market Data</w:t>
      </w:r>
    </w:p>
    <w:p w14:paraId="31121E38" w14:textId="77777777" w:rsidR="00A6311E" w:rsidRDefault="00B12F3E">
      <w:r>
        <w:t>Bitcoin historical market data was downloaded from CoinGecko as a CSV file using the maximum available historical range. The raw file covers 2013-04-28 to 2026-03-17 and includes daily Bitcoin price, market capitalization, and total trading volume. Although the raw file begins in 2013, the final modeling period begins later because the dataset is restricted to dates with available Google Trends data after merging and preprocessing.</w:t>
      </w:r>
    </w:p>
    <w:p w14:paraId="1F1E0C82" w14:textId="77777777" w:rsidR="00A6311E" w:rsidRDefault="00B12F3E">
      <w:r>
        <w:t xml:space="preserve">Source: </w:t>
      </w:r>
      <w:hyperlink r:id="rId8">
        <w:r w:rsidR="00A6311E">
          <w:rPr>
            <w:color w:val="0563C1"/>
            <w:u w:val="single"/>
          </w:rPr>
          <w:t>https://www.coingecko.com/en/coins/bitcoin/historical_data</w:t>
        </w:r>
      </w:hyperlink>
    </w:p>
    <w:p w14:paraId="5ED2999D" w14:textId="77777777" w:rsidR="00A6311E" w:rsidRDefault="00B12F3E">
      <w:pPr>
        <w:pStyle w:val="Balk2"/>
      </w:pPr>
      <w:r>
        <w:lastRenderedPageBreak/>
        <w:t>3.2 Google Trends Data</w:t>
      </w:r>
    </w:p>
    <w:p w14:paraId="505BF353" w14:textId="77777777" w:rsidR="00A6311E" w:rsidRDefault="00B12F3E">
      <w:r>
        <w:t>Google Trends data was manually downloaded for the keyword “Bitcoin” and used as a proxy for public attention. Since the exported Google Trends data is weekly, trend values were forward-filled to align them with daily Bitcoin market observations.</w:t>
      </w:r>
    </w:p>
    <w:p w14:paraId="7292A871" w14:textId="77777777" w:rsidR="00A6311E" w:rsidRDefault="00B12F3E">
      <w:r>
        <w:t xml:space="preserve">Source: </w:t>
      </w:r>
      <w:hyperlink r:id="rId9">
        <w:r w:rsidR="00A6311E">
          <w:rPr>
            <w:color w:val="0563C1"/>
            <w:u w:val="single"/>
          </w:rPr>
          <w:t>https://trends.google.com/</w:t>
        </w:r>
      </w:hyperlink>
    </w:p>
    <w:p w14:paraId="7F54E976" w14:textId="77777777" w:rsidR="00A6311E" w:rsidRDefault="00B12F3E">
      <w:pPr>
        <w:pStyle w:val="Balk2"/>
      </w:pPr>
      <w:r>
        <w:t>3.3 Alternative.me Crypto Fear &amp; Greed Index</w:t>
      </w:r>
    </w:p>
    <w:p w14:paraId="778D6227" w14:textId="77777777" w:rsidR="00A6311E" w:rsidRDefault="00B12F3E">
      <w:r>
        <w:t>The Alternative.me Crypto Fear &amp; Greed Index was used as a sentiment-based enrichment source. It provides a daily score between 0 and 100, where lower values indicate fear and higher values indicate greed. The data was downloaded through the public API using the script src/fetch_fear_greed.py.</w:t>
      </w:r>
    </w:p>
    <w:p w14:paraId="05FB6FFA" w14:textId="77777777" w:rsidR="00A6311E" w:rsidRDefault="00B12F3E">
      <w:r>
        <w:t xml:space="preserve">Source: </w:t>
      </w:r>
      <w:hyperlink r:id="rId10">
        <w:r w:rsidR="00A6311E">
          <w:rPr>
            <w:color w:val="0563C1"/>
            <w:u w:val="single"/>
          </w:rPr>
          <w:t>https://alternative.me/crypto/fear-and-greed-index/</w:t>
        </w:r>
      </w:hyperlink>
    </w:p>
    <w:p w14:paraId="1A037C66" w14:textId="77777777" w:rsidR="00A6311E" w:rsidRPr="00C231BB" w:rsidRDefault="00B12F3E">
      <w:pPr>
        <w:rPr>
          <w:lang w:val="it-IT"/>
        </w:rPr>
      </w:pPr>
      <w:r w:rsidRPr="00C231BB">
        <w:rPr>
          <w:lang w:val="it-IT"/>
        </w:rPr>
        <w:t xml:space="preserve">API: </w:t>
      </w:r>
      <w:hyperlink r:id="rId11">
        <w:r w:rsidR="00A6311E" w:rsidRPr="00C231BB">
          <w:rPr>
            <w:color w:val="0563C1"/>
            <w:u w:val="single"/>
            <w:lang w:val="it-IT"/>
          </w:rPr>
          <w:t>https://api.alternative.me/fng/?limit=0&amp;format=json</w:t>
        </w:r>
      </w:hyperlink>
    </w:p>
    <w:tbl>
      <w:tblPr>
        <w:tblStyle w:val="TabloKlavuzu"/>
        <w:tblW w:w="0" w:type="auto"/>
        <w:jc w:val="center"/>
        <w:tblLook w:val="04A0" w:firstRow="1" w:lastRow="0" w:firstColumn="1" w:lastColumn="0" w:noHBand="0" w:noVBand="1"/>
      </w:tblPr>
      <w:tblGrid>
        <w:gridCol w:w="3312"/>
        <w:gridCol w:w="3312"/>
        <w:gridCol w:w="3312"/>
      </w:tblGrid>
      <w:tr w:rsidR="00A6311E" w14:paraId="648D1551" w14:textId="77777777">
        <w:trPr>
          <w:jc w:val="center"/>
        </w:trPr>
        <w:tc>
          <w:tcPr>
            <w:tcW w:w="3312" w:type="dxa"/>
            <w:shd w:val="clear" w:color="auto" w:fill="D9EAF7"/>
          </w:tcPr>
          <w:p w14:paraId="12C81FD6" w14:textId="77777777" w:rsidR="00A6311E" w:rsidRDefault="00B12F3E">
            <w:pPr>
              <w:spacing w:after="0"/>
            </w:pPr>
            <w:r>
              <w:rPr>
                <w:b/>
                <w:sz w:val="18"/>
              </w:rPr>
              <w:t>Source</w:t>
            </w:r>
          </w:p>
        </w:tc>
        <w:tc>
          <w:tcPr>
            <w:tcW w:w="3312" w:type="dxa"/>
            <w:shd w:val="clear" w:color="auto" w:fill="D9EAF7"/>
          </w:tcPr>
          <w:p w14:paraId="227A12DC" w14:textId="77777777" w:rsidR="00A6311E" w:rsidRDefault="00B12F3E">
            <w:pPr>
              <w:spacing w:after="0"/>
            </w:pPr>
            <w:r>
              <w:rPr>
                <w:b/>
                <w:sz w:val="18"/>
              </w:rPr>
              <w:t>Role in project</w:t>
            </w:r>
          </w:p>
        </w:tc>
        <w:tc>
          <w:tcPr>
            <w:tcW w:w="3312" w:type="dxa"/>
            <w:shd w:val="clear" w:color="auto" w:fill="D9EAF7"/>
          </w:tcPr>
          <w:p w14:paraId="40324BA7" w14:textId="77777777" w:rsidR="00A6311E" w:rsidRDefault="00B12F3E">
            <w:pPr>
              <w:spacing w:after="0"/>
            </w:pPr>
            <w:r>
              <w:rPr>
                <w:b/>
                <w:sz w:val="18"/>
              </w:rPr>
              <w:t>Main variables</w:t>
            </w:r>
          </w:p>
        </w:tc>
      </w:tr>
      <w:tr w:rsidR="00A6311E" w14:paraId="5B05EBA5" w14:textId="77777777">
        <w:trPr>
          <w:jc w:val="center"/>
        </w:trPr>
        <w:tc>
          <w:tcPr>
            <w:tcW w:w="3312" w:type="dxa"/>
          </w:tcPr>
          <w:p w14:paraId="1377A17D" w14:textId="77777777" w:rsidR="00A6311E" w:rsidRDefault="00B12F3E">
            <w:pPr>
              <w:spacing w:after="0"/>
            </w:pPr>
            <w:r>
              <w:rPr>
                <w:sz w:val="18"/>
              </w:rPr>
              <w:t>CoinGecko</w:t>
            </w:r>
          </w:p>
        </w:tc>
        <w:tc>
          <w:tcPr>
            <w:tcW w:w="3312" w:type="dxa"/>
          </w:tcPr>
          <w:p w14:paraId="6F7B02D0" w14:textId="77777777" w:rsidR="00A6311E" w:rsidRDefault="00B12F3E">
            <w:pPr>
              <w:spacing w:after="0"/>
            </w:pPr>
            <w:r>
              <w:rPr>
                <w:sz w:val="18"/>
              </w:rPr>
              <w:t>Primary Bitcoin market dataset</w:t>
            </w:r>
          </w:p>
        </w:tc>
        <w:tc>
          <w:tcPr>
            <w:tcW w:w="3312" w:type="dxa"/>
          </w:tcPr>
          <w:p w14:paraId="5D27CD90" w14:textId="77777777" w:rsidR="00A6311E" w:rsidRDefault="00B12F3E">
            <w:pPr>
              <w:spacing w:after="0"/>
            </w:pPr>
            <w:r>
              <w:rPr>
                <w:sz w:val="18"/>
              </w:rPr>
              <w:t>price, market_cap, total_volume</w:t>
            </w:r>
          </w:p>
        </w:tc>
      </w:tr>
      <w:tr w:rsidR="00A6311E" w14:paraId="7E3930AD" w14:textId="77777777">
        <w:trPr>
          <w:jc w:val="center"/>
        </w:trPr>
        <w:tc>
          <w:tcPr>
            <w:tcW w:w="3312" w:type="dxa"/>
          </w:tcPr>
          <w:p w14:paraId="0D2E0D15" w14:textId="77777777" w:rsidR="00A6311E" w:rsidRDefault="00B12F3E">
            <w:pPr>
              <w:spacing w:after="0"/>
            </w:pPr>
            <w:r>
              <w:rPr>
                <w:sz w:val="18"/>
              </w:rPr>
              <w:t>Google Trends</w:t>
            </w:r>
          </w:p>
        </w:tc>
        <w:tc>
          <w:tcPr>
            <w:tcW w:w="3312" w:type="dxa"/>
          </w:tcPr>
          <w:p w14:paraId="3AB8A6EF" w14:textId="77777777" w:rsidR="00A6311E" w:rsidRDefault="00B12F3E">
            <w:pPr>
              <w:spacing w:after="0"/>
            </w:pPr>
            <w:r>
              <w:rPr>
                <w:sz w:val="18"/>
              </w:rPr>
              <w:t>Public attention proxy</w:t>
            </w:r>
          </w:p>
        </w:tc>
        <w:tc>
          <w:tcPr>
            <w:tcW w:w="3312" w:type="dxa"/>
          </w:tcPr>
          <w:p w14:paraId="58E90387" w14:textId="77777777" w:rsidR="00A6311E" w:rsidRDefault="00B12F3E">
            <w:pPr>
              <w:spacing w:after="0"/>
            </w:pPr>
            <w:r>
              <w:rPr>
                <w:sz w:val="18"/>
              </w:rPr>
              <w:t>google_trends_score and derived lag/rolling features</w:t>
            </w:r>
          </w:p>
        </w:tc>
      </w:tr>
      <w:tr w:rsidR="00A6311E" w14:paraId="4FAE9B79" w14:textId="77777777">
        <w:trPr>
          <w:jc w:val="center"/>
        </w:trPr>
        <w:tc>
          <w:tcPr>
            <w:tcW w:w="3312" w:type="dxa"/>
          </w:tcPr>
          <w:p w14:paraId="730D467E" w14:textId="77777777" w:rsidR="00A6311E" w:rsidRDefault="00B12F3E">
            <w:pPr>
              <w:spacing w:after="0"/>
            </w:pPr>
            <w:r>
              <w:rPr>
                <w:sz w:val="18"/>
              </w:rPr>
              <w:t>Alternative.me</w:t>
            </w:r>
          </w:p>
        </w:tc>
        <w:tc>
          <w:tcPr>
            <w:tcW w:w="3312" w:type="dxa"/>
          </w:tcPr>
          <w:p w14:paraId="5F565478" w14:textId="77777777" w:rsidR="00A6311E" w:rsidRDefault="00B12F3E">
            <w:pPr>
              <w:spacing w:after="0"/>
            </w:pPr>
            <w:r>
              <w:rPr>
                <w:sz w:val="18"/>
              </w:rPr>
              <w:t>Sentiment enrichment source</w:t>
            </w:r>
          </w:p>
        </w:tc>
        <w:tc>
          <w:tcPr>
            <w:tcW w:w="3312" w:type="dxa"/>
          </w:tcPr>
          <w:p w14:paraId="0DF373D0" w14:textId="77777777" w:rsidR="00A6311E" w:rsidRDefault="00B12F3E">
            <w:pPr>
              <w:spacing w:after="0"/>
            </w:pPr>
            <w:r>
              <w:rPr>
                <w:sz w:val="18"/>
              </w:rPr>
              <w:t>fear_greed_value and derived lag/rolling features</w:t>
            </w:r>
          </w:p>
        </w:tc>
      </w:tr>
    </w:tbl>
    <w:p w14:paraId="788F5189" w14:textId="77777777" w:rsidR="00A6311E" w:rsidRDefault="00B12F3E">
      <w:pPr>
        <w:pStyle w:val="Balk1"/>
      </w:pPr>
      <w:r>
        <w:t>4. Exploratory Data Analysis</w:t>
      </w:r>
    </w:p>
    <w:p w14:paraId="2D37FA25" w14:textId="77777777" w:rsidR="00A6311E" w:rsidRDefault="00B12F3E">
      <w:r>
        <w:t>Exploratory data analysis was used to inspect the behavior of Bitcoin price, public search interest, sentiment, returns, and volatility. The goal was not only to describe the data, but also to identify whether attention and sentiment signals appear more closely connected with directional returns or with market turbulence.</w:t>
      </w:r>
    </w:p>
    <w:p w14:paraId="4B8D8972" w14:textId="4D5A10E7" w:rsidR="00A6311E" w:rsidRDefault="00C231BB">
      <w:pPr>
        <w:pStyle w:val="ResimYazs"/>
        <w:spacing w:after="200"/>
        <w:jc w:val="center"/>
      </w:pPr>
      <w:r>
        <w:rPr>
          <w:noProof/>
        </w:rPr>
        <w:drawing>
          <wp:inline distT="0" distB="0" distL="0" distR="0" wp14:anchorId="7CC96DC3" wp14:editId="7A7FF6B7">
            <wp:extent cx="6309360" cy="2628900"/>
            <wp:effectExtent l="0" t="0" r="0" b="0"/>
            <wp:docPr id="189050507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05072" name="Resim 1890505072"/>
                    <pic:cNvPicPr/>
                  </pic:nvPicPr>
                  <pic:blipFill>
                    <a:blip r:embed="rId12"/>
                    <a:stretch>
                      <a:fillRect/>
                    </a:stretch>
                  </pic:blipFill>
                  <pic:spPr>
                    <a:xfrm>
                      <a:off x="0" y="0"/>
                      <a:ext cx="6309360" cy="2628900"/>
                    </a:xfrm>
                    <a:prstGeom prst="rect">
                      <a:avLst/>
                    </a:prstGeom>
                  </pic:spPr>
                </pic:pic>
              </a:graphicData>
            </a:graphic>
          </wp:inline>
        </w:drawing>
      </w:r>
      <w:r>
        <w:t>Figure 1. Bitcoin price over the analysis period.</w:t>
      </w:r>
    </w:p>
    <w:p w14:paraId="0FDEBB13" w14:textId="57ED680C" w:rsidR="00A6311E" w:rsidRDefault="00B12F3E" w:rsidP="00600765">
      <w:pPr>
        <w:jc w:val="center"/>
      </w:pPr>
      <w:r>
        <w:t xml:space="preserve">Figure 1 </w:t>
      </w:r>
      <w:r w:rsidR="00A541B8" w:rsidRPr="00A541B8">
        <w:t xml:space="preserve">shows the overall price trajectory of Bitcoin and highlights periods of strong price movement, providing market context for </w:t>
      </w:r>
      <w:proofErr w:type="gramStart"/>
      <w:r w:rsidR="00A541B8" w:rsidRPr="00A541B8">
        <w:t>the attention</w:t>
      </w:r>
      <w:proofErr w:type="gramEnd"/>
      <w:r w:rsidR="00A541B8" w:rsidRPr="00A541B8">
        <w:t xml:space="preserve"> and sentiment analyses.</w:t>
      </w:r>
    </w:p>
    <w:p w14:paraId="6EBB8784" w14:textId="77777777" w:rsidR="00A6311E" w:rsidRDefault="00A6311E">
      <w:pPr>
        <w:spacing w:before="160" w:after="80"/>
        <w:jc w:val="center"/>
      </w:pPr>
    </w:p>
    <w:tbl>
      <w:tblPr>
        <w:tblW w:w="0" w:type="auto"/>
        <w:jc w:val="center"/>
        <w:tblLook w:val="04A0" w:firstRow="1" w:lastRow="0" w:firstColumn="1" w:lastColumn="0" w:noHBand="0" w:noVBand="1"/>
      </w:tblPr>
      <w:tblGrid>
        <w:gridCol w:w="10152"/>
      </w:tblGrid>
      <w:tr w:rsidR="00A6311E" w14:paraId="6C0D0B52" w14:textId="77777777">
        <w:trPr>
          <w:jc w:val="center"/>
        </w:trPr>
        <w:tc>
          <w:tcPr>
            <w:tcW w:w="9936" w:type="dxa"/>
            <w:tcBorders>
              <w:top w:val="single" w:sz="8" w:space="0" w:color="7F7F7F"/>
              <w:left w:val="single" w:sz="8" w:space="0" w:color="7F7F7F"/>
              <w:bottom w:val="single" w:sz="8" w:space="0" w:color="7F7F7F"/>
              <w:right w:val="single" w:sz="8" w:space="0" w:color="7F7F7F"/>
            </w:tcBorders>
            <w:shd w:val="clear" w:color="auto" w:fill="EDEDED"/>
            <w:vAlign w:val="center"/>
          </w:tcPr>
          <w:p w14:paraId="2B4AB4F6" w14:textId="195535EB" w:rsidR="00A6311E" w:rsidRDefault="00C231BB">
            <w:pPr>
              <w:jc w:val="center"/>
            </w:pPr>
            <w:r>
              <w:rPr>
                <w:noProof/>
              </w:rPr>
              <w:lastRenderedPageBreak/>
              <w:drawing>
                <wp:inline distT="0" distB="0" distL="0" distR="0" wp14:anchorId="750228FF" wp14:editId="4A8151B5">
                  <wp:extent cx="6309360" cy="2628900"/>
                  <wp:effectExtent l="0" t="0" r="0" b="0"/>
                  <wp:docPr id="43863777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37770" name="Resim 438637770"/>
                          <pic:cNvPicPr/>
                        </pic:nvPicPr>
                        <pic:blipFill>
                          <a:blip r:embed="rId13"/>
                          <a:stretch>
                            <a:fillRect/>
                          </a:stretch>
                        </pic:blipFill>
                        <pic:spPr>
                          <a:xfrm>
                            <a:off x="0" y="0"/>
                            <a:ext cx="6309360" cy="2628900"/>
                          </a:xfrm>
                          <a:prstGeom prst="rect">
                            <a:avLst/>
                          </a:prstGeom>
                        </pic:spPr>
                      </pic:pic>
                    </a:graphicData>
                  </a:graphic>
                </wp:inline>
              </w:drawing>
            </w:r>
          </w:p>
        </w:tc>
      </w:tr>
    </w:tbl>
    <w:p w14:paraId="4B782D58" w14:textId="31F75F5F" w:rsidR="00A6311E" w:rsidRDefault="00B12F3E">
      <w:pPr>
        <w:pStyle w:val="ResimYazs"/>
        <w:spacing w:after="200"/>
        <w:jc w:val="center"/>
      </w:pPr>
      <w:r>
        <w:t xml:space="preserve">Figure 2. Google Trends </w:t>
      </w:r>
      <w:proofErr w:type="gramStart"/>
      <w:r>
        <w:t>search interest</w:t>
      </w:r>
      <w:proofErr w:type="gramEnd"/>
      <w:r>
        <w:t xml:space="preserve"> for Bitcoin over time.</w:t>
      </w:r>
    </w:p>
    <w:p w14:paraId="5D328064" w14:textId="0C3D3DE3" w:rsidR="00A6311E" w:rsidRDefault="00B12F3E" w:rsidP="00600765">
      <w:pPr>
        <w:jc w:val="center"/>
      </w:pPr>
      <w:r>
        <w:t xml:space="preserve">Figure 2 </w:t>
      </w:r>
      <w:r w:rsidR="00034C7C" w:rsidRPr="00034C7C">
        <w:t>illustrates changes in public search interest over time. Spikes in Google Trends can be compared with periods of increased price movement and volatility.</w:t>
      </w:r>
    </w:p>
    <w:p w14:paraId="55B38833" w14:textId="77777777" w:rsidR="00034C7C" w:rsidRDefault="00034C7C" w:rsidP="00034C7C"/>
    <w:tbl>
      <w:tblPr>
        <w:tblW w:w="0" w:type="auto"/>
        <w:jc w:val="center"/>
        <w:tblLook w:val="04A0" w:firstRow="1" w:lastRow="0" w:firstColumn="1" w:lastColumn="0" w:noHBand="0" w:noVBand="1"/>
      </w:tblPr>
      <w:tblGrid>
        <w:gridCol w:w="10152"/>
      </w:tblGrid>
      <w:tr w:rsidR="00A6311E" w14:paraId="0A684951" w14:textId="77777777">
        <w:trPr>
          <w:jc w:val="center"/>
        </w:trPr>
        <w:tc>
          <w:tcPr>
            <w:tcW w:w="9936" w:type="dxa"/>
            <w:tcBorders>
              <w:top w:val="single" w:sz="8" w:space="0" w:color="7F7F7F"/>
              <w:left w:val="single" w:sz="8" w:space="0" w:color="7F7F7F"/>
              <w:bottom w:val="single" w:sz="8" w:space="0" w:color="7F7F7F"/>
              <w:right w:val="single" w:sz="8" w:space="0" w:color="7F7F7F"/>
            </w:tcBorders>
            <w:shd w:val="clear" w:color="auto" w:fill="EDEDED"/>
            <w:vAlign w:val="center"/>
          </w:tcPr>
          <w:p w14:paraId="75745185" w14:textId="2E72E980" w:rsidR="00A6311E" w:rsidRDefault="00C231BB">
            <w:pPr>
              <w:jc w:val="center"/>
            </w:pPr>
            <w:r>
              <w:rPr>
                <w:noProof/>
              </w:rPr>
              <w:drawing>
                <wp:inline distT="0" distB="0" distL="0" distR="0" wp14:anchorId="0974967D" wp14:editId="63133C2E">
                  <wp:extent cx="6309360" cy="3943350"/>
                  <wp:effectExtent l="0" t="0" r="0" b="0"/>
                  <wp:docPr id="1146182667"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82667" name="Resim 1146182667"/>
                          <pic:cNvPicPr/>
                        </pic:nvPicPr>
                        <pic:blipFill>
                          <a:blip r:embed="rId14"/>
                          <a:stretch>
                            <a:fillRect/>
                          </a:stretch>
                        </pic:blipFill>
                        <pic:spPr>
                          <a:xfrm>
                            <a:off x="0" y="0"/>
                            <a:ext cx="6309360" cy="3943350"/>
                          </a:xfrm>
                          <a:prstGeom prst="rect">
                            <a:avLst/>
                          </a:prstGeom>
                        </pic:spPr>
                      </pic:pic>
                    </a:graphicData>
                  </a:graphic>
                </wp:inline>
              </w:drawing>
            </w:r>
          </w:p>
        </w:tc>
      </w:tr>
    </w:tbl>
    <w:p w14:paraId="5DD14E6A" w14:textId="35E56B21" w:rsidR="00A6311E" w:rsidRDefault="00B12F3E">
      <w:pPr>
        <w:pStyle w:val="ResimYazs"/>
        <w:spacing w:after="200"/>
        <w:jc w:val="center"/>
      </w:pPr>
      <w:r>
        <w:t>Figure 3. Relationship between Google Trends score and 7-day Bitcoin volatility.</w:t>
      </w:r>
    </w:p>
    <w:p w14:paraId="41BA15DE" w14:textId="44E79DA5" w:rsidR="00A6311E" w:rsidRDefault="00B12F3E" w:rsidP="00600765">
      <w:pPr>
        <w:jc w:val="center"/>
      </w:pPr>
      <w:r>
        <w:t xml:space="preserve">Figure 3 </w:t>
      </w:r>
      <w:r w:rsidR="0060470E" w:rsidRPr="0060470E">
        <w:t>shows the relationship between Google Trends search interest and 7-day Bitcoin volatility. The pattern supports the statistical finding that public attention is more closely associated with volatility than with next-day directional returns</w:t>
      </w:r>
      <w:r>
        <w:t>.</w:t>
      </w:r>
    </w:p>
    <w:p w14:paraId="1AE5CBEE" w14:textId="77777777" w:rsidR="00A6311E" w:rsidRDefault="00A6311E">
      <w:pPr>
        <w:spacing w:before="160" w:after="80"/>
        <w:jc w:val="center"/>
      </w:pPr>
    </w:p>
    <w:tbl>
      <w:tblPr>
        <w:tblW w:w="0" w:type="auto"/>
        <w:jc w:val="center"/>
        <w:tblLook w:val="04A0" w:firstRow="1" w:lastRow="0" w:firstColumn="1" w:lastColumn="0" w:noHBand="0" w:noVBand="1"/>
      </w:tblPr>
      <w:tblGrid>
        <w:gridCol w:w="10152"/>
      </w:tblGrid>
      <w:tr w:rsidR="00A6311E" w14:paraId="6382D8DE" w14:textId="77777777">
        <w:trPr>
          <w:jc w:val="center"/>
        </w:trPr>
        <w:tc>
          <w:tcPr>
            <w:tcW w:w="9936" w:type="dxa"/>
            <w:tcBorders>
              <w:top w:val="single" w:sz="8" w:space="0" w:color="7F7F7F"/>
              <w:left w:val="single" w:sz="8" w:space="0" w:color="7F7F7F"/>
              <w:bottom w:val="single" w:sz="8" w:space="0" w:color="7F7F7F"/>
              <w:right w:val="single" w:sz="8" w:space="0" w:color="7F7F7F"/>
            </w:tcBorders>
            <w:shd w:val="clear" w:color="auto" w:fill="EDEDED"/>
            <w:vAlign w:val="center"/>
          </w:tcPr>
          <w:p w14:paraId="7CCD1A9C" w14:textId="4ED338FF" w:rsidR="00A6311E" w:rsidRDefault="00C231BB">
            <w:pPr>
              <w:jc w:val="center"/>
            </w:pPr>
            <w:r>
              <w:rPr>
                <w:noProof/>
              </w:rPr>
              <w:drawing>
                <wp:inline distT="0" distB="0" distL="0" distR="0" wp14:anchorId="183E67CE" wp14:editId="07E91DFB">
                  <wp:extent cx="6309360" cy="2628900"/>
                  <wp:effectExtent l="0" t="0" r="0" b="0"/>
                  <wp:docPr id="347544035"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44035" name="Resim 347544035"/>
                          <pic:cNvPicPr/>
                        </pic:nvPicPr>
                        <pic:blipFill>
                          <a:blip r:embed="rId15"/>
                          <a:stretch>
                            <a:fillRect/>
                          </a:stretch>
                        </pic:blipFill>
                        <pic:spPr>
                          <a:xfrm>
                            <a:off x="0" y="0"/>
                            <a:ext cx="6309360" cy="2628900"/>
                          </a:xfrm>
                          <a:prstGeom prst="rect">
                            <a:avLst/>
                          </a:prstGeom>
                        </pic:spPr>
                      </pic:pic>
                    </a:graphicData>
                  </a:graphic>
                </wp:inline>
              </w:drawing>
            </w:r>
          </w:p>
        </w:tc>
      </w:tr>
    </w:tbl>
    <w:p w14:paraId="2DC6A2C7" w14:textId="0FC2806E" w:rsidR="00A6311E" w:rsidRDefault="00B12F3E">
      <w:pPr>
        <w:pStyle w:val="ResimYazs"/>
        <w:spacing w:after="200"/>
        <w:jc w:val="center"/>
      </w:pPr>
      <w:r>
        <w:t>Figure 4. Crypto Fear &amp; Greed Index over time.</w:t>
      </w:r>
    </w:p>
    <w:p w14:paraId="22B749F2" w14:textId="77777777" w:rsidR="00B25246" w:rsidRPr="00B25246" w:rsidRDefault="00B25246" w:rsidP="00600765">
      <w:pPr>
        <w:spacing w:before="160" w:after="80"/>
        <w:jc w:val="center"/>
      </w:pPr>
      <w:r w:rsidRPr="00B25246">
        <w:t>This figure shows changes in market sentiment over time, where lower values indicate fear and higher values indicate greed.</w:t>
      </w:r>
    </w:p>
    <w:p w14:paraId="385F75E0" w14:textId="77777777" w:rsidR="00A6311E" w:rsidRDefault="00A6311E" w:rsidP="00B25246">
      <w:pPr>
        <w:spacing w:before="160" w:after="80"/>
      </w:pPr>
    </w:p>
    <w:tbl>
      <w:tblPr>
        <w:tblW w:w="0" w:type="auto"/>
        <w:jc w:val="center"/>
        <w:tblLook w:val="04A0" w:firstRow="1" w:lastRow="0" w:firstColumn="1" w:lastColumn="0" w:noHBand="0" w:noVBand="1"/>
      </w:tblPr>
      <w:tblGrid>
        <w:gridCol w:w="10152"/>
      </w:tblGrid>
      <w:tr w:rsidR="00A6311E" w14:paraId="628A354B" w14:textId="77777777">
        <w:trPr>
          <w:jc w:val="center"/>
        </w:trPr>
        <w:tc>
          <w:tcPr>
            <w:tcW w:w="9936" w:type="dxa"/>
            <w:tcBorders>
              <w:top w:val="single" w:sz="8" w:space="0" w:color="7F7F7F"/>
              <w:left w:val="single" w:sz="8" w:space="0" w:color="7F7F7F"/>
              <w:bottom w:val="single" w:sz="8" w:space="0" w:color="7F7F7F"/>
              <w:right w:val="single" w:sz="8" w:space="0" w:color="7F7F7F"/>
            </w:tcBorders>
            <w:shd w:val="clear" w:color="auto" w:fill="EDEDED"/>
            <w:vAlign w:val="center"/>
          </w:tcPr>
          <w:p w14:paraId="4139D416" w14:textId="3CBF511B" w:rsidR="00A6311E" w:rsidRDefault="00C231BB">
            <w:pPr>
              <w:jc w:val="center"/>
            </w:pPr>
            <w:r>
              <w:rPr>
                <w:noProof/>
              </w:rPr>
              <w:drawing>
                <wp:inline distT="0" distB="0" distL="0" distR="0" wp14:anchorId="129754F9" wp14:editId="3559A6A9">
                  <wp:extent cx="6309360" cy="3943350"/>
                  <wp:effectExtent l="0" t="0" r="0" b="0"/>
                  <wp:docPr id="1692128024"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28024" name="Resim 1692128024"/>
                          <pic:cNvPicPr/>
                        </pic:nvPicPr>
                        <pic:blipFill>
                          <a:blip r:embed="rId16"/>
                          <a:stretch>
                            <a:fillRect/>
                          </a:stretch>
                        </pic:blipFill>
                        <pic:spPr>
                          <a:xfrm>
                            <a:off x="0" y="0"/>
                            <a:ext cx="6309360" cy="3943350"/>
                          </a:xfrm>
                          <a:prstGeom prst="rect">
                            <a:avLst/>
                          </a:prstGeom>
                        </pic:spPr>
                      </pic:pic>
                    </a:graphicData>
                  </a:graphic>
                </wp:inline>
              </w:drawing>
            </w:r>
          </w:p>
        </w:tc>
      </w:tr>
    </w:tbl>
    <w:p w14:paraId="6B2B6E43" w14:textId="52435CC2" w:rsidR="00A6311E" w:rsidRDefault="00B12F3E">
      <w:pPr>
        <w:pStyle w:val="ResimYazs"/>
        <w:spacing w:after="200"/>
        <w:jc w:val="center"/>
      </w:pPr>
      <w:r>
        <w:t>Figure 5. Relationship between Fear &amp; Greed Index and daily Bitcoin return.</w:t>
      </w:r>
    </w:p>
    <w:p w14:paraId="22B963EF" w14:textId="22CBAC2D" w:rsidR="00A6311E" w:rsidRDefault="00B12F3E" w:rsidP="00600765">
      <w:pPr>
        <w:jc w:val="center"/>
      </w:pPr>
      <w:r>
        <w:t xml:space="preserve">Figure 5 </w:t>
      </w:r>
      <w:r w:rsidR="00B25246" w:rsidRPr="00B25246">
        <w:t>illustrates the relationship between sentiment and daily Bitcoin return behavior. Together with Figure 4, it helps evaluate whether the Fear &amp; Greed Index adds useful sentiment information to the analysis.</w:t>
      </w:r>
    </w:p>
    <w:tbl>
      <w:tblPr>
        <w:tblW w:w="0" w:type="auto"/>
        <w:jc w:val="center"/>
        <w:tblLook w:val="04A0" w:firstRow="1" w:lastRow="0" w:firstColumn="1" w:lastColumn="0" w:noHBand="0" w:noVBand="1"/>
      </w:tblPr>
      <w:tblGrid>
        <w:gridCol w:w="10152"/>
      </w:tblGrid>
      <w:tr w:rsidR="00A6311E" w14:paraId="3370CB89" w14:textId="77777777">
        <w:trPr>
          <w:jc w:val="center"/>
        </w:trPr>
        <w:tc>
          <w:tcPr>
            <w:tcW w:w="9936" w:type="dxa"/>
            <w:tcBorders>
              <w:top w:val="single" w:sz="8" w:space="0" w:color="7F7F7F"/>
              <w:left w:val="single" w:sz="8" w:space="0" w:color="7F7F7F"/>
              <w:bottom w:val="single" w:sz="8" w:space="0" w:color="7F7F7F"/>
              <w:right w:val="single" w:sz="8" w:space="0" w:color="7F7F7F"/>
            </w:tcBorders>
            <w:shd w:val="clear" w:color="auto" w:fill="EDEDED"/>
            <w:vAlign w:val="center"/>
          </w:tcPr>
          <w:p w14:paraId="3D3B9FDE" w14:textId="12C11FA4" w:rsidR="00A6311E" w:rsidRDefault="00C231BB">
            <w:pPr>
              <w:jc w:val="center"/>
            </w:pPr>
            <w:r>
              <w:rPr>
                <w:noProof/>
              </w:rPr>
              <w:lastRenderedPageBreak/>
              <w:drawing>
                <wp:inline distT="0" distB="0" distL="0" distR="0" wp14:anchorId="15E7A28F" wp14:editId="0C3C8260">
                  <wp:extent cx="6309360" cy="4907280"/>
                  <wp:effectExtent l="0" t="0" r="0" b="7620"/>
                  <wp:docPr id="173269613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96136" name="Resim 1732696136"/>
                          <pic:cNvPicPr/>
                        </pic:nvPicPr>
                        <pic:blipFill>
                          <a:blip r:embed="rId17"/>
                          <a:stretch>
                            <a:fillRect/>
                          </a:stretch>
                        </pic:blipFill>
                        <pic:spPr>
                          <a:xfrm>
                            <a:off x="0" y="0"/>
                            <a:ext cx="6309360" cy="4907280"/>
                          </a:xfrm>
                          <a:prstGeom prst="rect">
                            <a:avLst/>
                          </a:prstGeom>
                        </pic:spPr>
                      </pic:pic>
                    </a:graphicData>
                  </a:graphic>
                </wp:inline>
              </w:drawing>
            </w:r>
          </w:p>
        </w:tc>
      </w:tr>
    </w:tbl>
    <w:p w14:paraId="093D0FFA" w14:textId="79272504" w:rsidR="00A6311E" w:rsidRDefault="00B12F3E">
      <w:pPr>
        <w:pStyle w:val="ResimYazs"/>
        <w:spacing w:after="200"/>
        <w:jc w:val="center"/>
      </w:pPr>
      <w:r>
        <w:t>Figure 6. Correlation matrix of selected market, attention, and sentiment features.</w:t>
      </w:r>
    </w:p>
    <w:p w14:paraId="73C91EBC" w14:textId="4B0F204A" w:rsidR="0086589E" w:rsidRPr="0086589E" w:rsidRDefault="0086589E" w:rsidP="00600765">
      <w:pPr>
        <w:jc w:val="center"/>
      </w:pPr>
      <w:r>
        <w:t xml:space="preserve">Figure 6 </w:t>
      </w:r>
      <w:r w:rsidRPr="0086589E">
        <w:t xml:space="preserve">summarizes the correlations among key </w:t>
      </w:r>
      <w:proofErr w:type="gramStart"/>
      <w:r w:rsidRPr="0086589E">
        <w:t>market</w:t>
      </w:r>
      <w:proofErr w:type="gramEnd"/>
      <w:r w:rsidRPr="0086589E">
        <w:t>, attention, and sentiment variables used in the analysis.</w:t>
      </w:r>
    </w:p>
    <w:p w14:paraId="069AAF0F" w14:textId="77777777" w:rsidR="00A6311E" w:rsidRDefault="00B12F3E">
      <w:pPr>
        <w:pStyle w:val="Balk1"/>
      </w:pPr>
      <w:r>
        <w:t>5. Feature Engineering</w:t>
      </w:r>
    </w:p>
    <w:p w14:paraId="773A7FA1" w14:textId="77777777" w:rsidR="00A6311E" w:rsidRDefault="00B12F3E">
      <w:r>
        <w:t>Features were engineered from raw market data, Google Trends data, and Fear &amp; Greed Index values. The final feature dataset contains 1,830 observations and 65 columns. The final target variable, target_up_next_day, indicates whether the Bitcoin price increased on the following day.</w:t>
      </w:r>
    </w:p>
    <w:tbl>
      <w:tblPr>
        <w:tblStyle w:val="TabloKlavuzu"/>
        <w:tblW w:w="0" w:type="auto"/>
        <w:jc w:val="center"/>
        <w:tblLook w:val="04A0" w:firstRow="1" w:lastRow="0" w:firstColumn="1" w:lastColumn="0" w:noHBand="0" w:noVBand="1"/>
      </w:tblPr>
      <w:tblGrid>
        <w:gridCol w:w="4968"/>
        <w:gridCol w:w="4968"/>
      </w:tblGrid>
      <w:tr w:rsidR="00A6311E" w14:paraId="4C456FF0" w14:textId="77777777">
        <w:trPr>
          <w:jc w:val="center"/>
        </w:trPr>
        <w:tc>
          <w:tcPr>
            <w:tcW w:w="4968" w:type="dxa"/>
            <w:shd w:val="clear" w:color="auto" w:fill="D9EAF7"/>
          </w:tcPr>
          <w:p w14:paraId="1A3F31A3" w14:textId="77777777" w:rsidR="00A6311E" w:rsidRDefault="00B12F3E">
            <w:pPr>
              <w:spacing w:after="0"/>
            </w:pPr>
            <w:r>
              <w:rPr>
                <w:b/>
                <w:sz w:val="18"/>
              </w:rPr>
              <w:t>Feature group</w:t>
            </w:r>
          </w:p>
        </w:tc>
        <w:tc>
          <w:tcPr>
            <w:tcW w:w="4968" w:type="dxa"/>
            <w:shd w:val="clear" w:color="auto" w:fill="D9EAF7"/>
          </w:tcPr>
          <w:p w14:paraId="055FEE4B" w14:textId="77777777" w:rsidR="00A6311E" w:rsidRDefault="00B12F3E">
            <w:pPr>
              <w:spacing w:after="0"/>
            </w:pPr>
            <w:r>
              <w:rPr>
                <w:b/>
                <w:sz w:val="18"/>
              </w:rPr>
              <w:t>Examples</w:t>
            </w:r>
          </w:p>
        </w:tc>
      </w:tr>
      <w:tr w:rsidR="00A6311E" w14:paraId="77EE4E27" w14:textId="77777777">
        <w:trPr>
          <w:jc w:val="center"/>
        </w:trPr>
        <w:tc>
          <w:tcPr>
            <w:tcW w:w="4968" w:type="dxa"/>
          </w:tcPr>
          <w:p w14:paraId="1EE428F9" w14:textId="77777777" w:rsidR="00A6311E" w:rsidRDefault="00B12F3E">
            <w:pPr>
              <w:spacing w:after="0"/>
            </w:pPr>
            <w:r>
              <w:rPr>
                <w:sz w:val="18"/>
              </w:rPr>
              <w:t>Market-based features</w:t>
            </w:r>
          </w:p>
        </w:tc>
        <w:tc>
          <w:tcPr>
            <w:tcW w:w="4968" w:type="dxa"/>
          </w:tcPr>
          <w:p w14:paraId="3204A9AE" w14:textId="77777777" w:rsidR="00A6311E" w:rsidRDefault="00B12F3E">
            <w:pPr>
              <w:spacing w:after="0"/>
            </w:pPr>
            <w:r>
              <w:rPr>
                <w:sz w:val="18"/>
              </w:rPr>
              <w:t>price, market_cap, total_volume, daily_return, log_return, volume_change, moving averages</w:t>
            </w:r>
          </w:p>
        </w:tc>
      </w:tr>
      <w:tr w:rsidR="00A6311E" w14:paraId="6F2B730D" w14:textId="77777777">
        <w:trPr>
          <w:jc w:val="center"/>
        </w:trPr>
        <w:tc>
          <w:tcPr>
            <w:tcW w:w="4968" w:type="dxa"/>
          </w:tcPr>
          <w:p w14:paraId="0C39151F" w14:textId="77777777" w:rsidR="00A6311E" w:rsidRDefault="00B12F3E">
            <w:pPr>
              <w:spacing w:after="0"/>
            </w:pPr>
            <w:r>
              <w:rPr>
                <w:sz w:val="18"/>
              </w:rPr>
              <w:t>Volatility features</w:t>
            </w:r>
          </w:p>
        </w:tc>
        <w:tc>
          <w:tcPr>
            <w:tcW w:w="4968" w:type="dxa"/>
          </w:tcPr>
          <w:p w14:paraId="04EC0FEC" w14:textId="77777777" w:rsidR="00A6311E" w:rsidRDefault="00B12F3E">
            <w:pPr>
              <w:spacing w:after="0"/>
            </w:pPr>
            <w:r>
              <w:rPr>
                <w:sz w:val="18"/>
              </w:rPr>
              <w:t>volatility_7d, volatility_14d, lagged volatility features</w:t>
            </w:r>
          </w:p>
        </w:tc>
      </w:tr>
      <w:tr w:rsidR="00A6311E" w14:paraId="0E92222C" w14:textId="77777777">
        <w:trPr>
          <w:jc w:val="center"/>
        </w:trPr>
        <w:tc>
          <w:tcPr>
            <w:tcW w:w="4968" w:type="dxa"/>
          </w:tcPr>
          <w:p w14:paraId="70E99AE7" w14:textId="77777777" w:rsidR="00A6311E" w:rsidRDefault="00B12F3E">
            <w:pPr>
              <w:spacing w:after="0"/>
            </w:pPr>
            <w:r>
              <w:rPr>
                <w:sz w:val="18"/>
              </w:rPr>
              <w:t>Attention features</w:t>
            </w:r>
          </w:p>
        </w:tc>
        <w:tc>
          <w:tcPr>
            <w:tcW w:w="4968" w:type="dxa"/>
          </w:tcPr>
          <w:p w14:paraId="4CE88063" w14:textId="77777777" w:rsidR="00A6311E" w:rsidRDefault="00B12F3E">
            <w:pPr>
              <w:spacing w:after="0"/>
            </w:pPr>
            <w:r>
              <w:rPr>
                <w:sz w:val="18"/>
              </w:rPr>
              <w:t>google_trends_score, trends_change, trends_lag_1, trends_lag_7, rolling trends features</w:t>
            </w:r>
          </w:p>
        </w:tc>
      </w:tr>
      <w:tr w:rsidR="00A6311E" w14:paraId="0AEA15B9" w14:textId="77777777">
        <w:trPr>
          <w:jc w:val="center"/>
        </w:trPr>
        <w:tc>
          <w:tcPr>
            <w:tcW w:w="4968" w:type="dxa"/>
          </w:tcPr>
          <w:p w14:paraId="17359B0C" w14:textId="77777777" w:rsidR="00A6311E" w:rsidRDefault="00B12F3E">
            <w:pPr>
              <w:spacing w:after="0"/>
            </w:pPr>
            <w:r>
              <w:rPr>
                <w:sz w:val="18"/>
              </w:rPr>
              <w:t>Sentiment features</w:t>
            </w:r>
          </w:p>
        </w:tc>
        <w:tc>
          <w:tcPr>
            <w:tcW w:w="4968" w:type="dxa"/>
          </w:tcPr>
          <w:p w14:paraId="7E89E383" w14:textId="77777777" w:rsidR="00A6311E" w:rsidRDefault="00B12F3E">
            <w:pPr>
              <w:spacing w:after="0"/>
            </w:pPr>
            <w:r>
              <w:rPr>
                <w:sz w:val="18"/>
              </w:rPr>
              <w:t>fear_greed_value, fear_greed_change, fear_greed_lag_1, fear_greed_lag_7, rolling sentiment features</w:t>
            </w:r>
          </w:p>
        </w:tc>
      </w:tr>
      <w:tr w:rsidR="00A6311E" w14:paraId="38C34B09" w14:textId="77777777">
        <w:trPr>
          <w:jc w:val="center"/>
        </w:trPr>
        <w:tc>
          <w:tcPr>
            <w:tcW w:w="4968" w:type="dxa"/>
          </w:tcPr>
          <w:p w14:paraId="51501ADF" w14:textId="77777777" w:rsidR="00A6311E" w:rsidRDefault="00B12F3E">
            <w:pPr>
              <w:spacing w:after="0"/>
            </w:pPr>
            <w:r>
              <w:rPr>
                <w:sz w:val="18"/>
              </w:rPr>
              <w:t>Target variables</w:t>
            </w:r>
          </w:p>
        </w:tc>
        <w:tc>
          <w:tcPr>
            <w:tcW w:w="4968" w:type="dxa"/>
          </w:tcPr>
          <w:p w14:paraId="0923AD7D" w14:textId="77777777" w:rsidR="00A6311E" w:rsidRDefault="00B12F3E">
            <w:pPr>
              <w:spacing w:after="0"/>
            </w:pPr>
            <w:r>
              <w:rPr>
                <w:sz w:val="18"/>
              </w:rPr>
              <w:t>target_up_next_day, target_high_volatility_next_7d</w:t>
            </w:r>
          </w:p>
        </w:tc>
      </w:tr>
    </w:tbl>
    <w:p w14:paraId="37225BB5" w14:textId="77777777" w:rsidR="00A6311E" w:rsidRDefault="00B12F3E">
      <w:r>
        <w:lastRenderedPageBreak/>
        <w:t>Lagged variables were included to evaluate whether earlier values of attention or sentiment contain information about later market behavior. Rolling features were included to capture short-term trends and variability.</w:t>
      </w:r>
    </w:p>
    <w:p w14:paraId="3C24F483" w14:textId="77777777" w:rsidR="00A6311E" w:rsidRDefault="00B12F3E">
      <w:pPr>
        <w:pStyle w:val="Balk1"/>
      </w:pPr>
      <w:r>
        <w:t>6. Statistical Analysis</w:t>
      </w:r>
    </w:p>
    <w:p w14:paraId="70C5238C" w14:textId="77777777" w:rsidR="00A6311E" w:rsidRDefault="00B12F3E">
      <w:r>
        <w:t>Hypothesis testing examined whether attention and sentiment indicators are related to Bitcoin returns and volatility. Pearson and Spearman correlations were used for continuous relationships, and a group comparison was used for high- versus low-attention days.</w:t>
      </w:r>
    </w:p>
    <w:tbl>
      <w:tblPr>
        <w:tblStyle w:val="TabloKlavuzu"/>
        <w:tblW w:w="0" w:type="auto"/>
        <w:jc w:val="center"/>
        <w:tblLook w:val="04A0" w:firstRow="1" w:lastRow="0" w:firstColumn="1" w:lastColumn="0" w:noHBand="0" w:noVBand="1"/>
      </w:tblPr>
      <w:tblGrid>
        <w:gridCol w:w="3312"/>
        <w:gridCol w:w="3312"/>
        <w:gridCol w:w="3312"/>
      </w:tblGrid>
      <w:tr w:rsidR="00A6311E" w14:paraId="507CE8B0" w14:textId="77777777">
        <w:trPr>
          <w:jc w:val="center"/>
        </w:trPr>
        <w:tc>
          <w:tcPr>
            <w:tcW w:w="3312" w:type="dxa"/>
            <w:shd w:val="clear" w:color="auto" w:fill="D9EAF7"/>
          </w:tcPr>
          <w:p w14:paraId="55F1A985" w14:textId="77777777" w:rsidR="00A6311E" w:rsidRDefault="00B12F3E">
            <w:pPr>
              <w:spacing w:after="0"/>
            </w:pPr>
            <w:r>
              <w:rPr>
                <w:b/>
                <w:sz w:val="18"/>
              </w:rPr>
              <w:t>Test</w:t>
            </w:r>
          </w:p>
        </w:tc>
        <w:tc>
          <w:tcPr>
            <w:tcW w:w="3312" w:type="dxa"/>
            <w:shd w:val="clear" w:color="auto" w:fill="D9EAF7"/>
          </w:tcPr>
          <w:p w14:paraId="3301304E" w14:textId="77777777" w:rsidR="00A6311E" w:rsidRDefault="00B12F3E">
            <w:pPr>
              <w:spacing w:after="0"/>
            </w:pPr>
            <w:r>
              <w:rPr>
                <w:b/>
                <w:sz w:val="18"/>
              </w:rPr>
              <w:t>Key result</w:t>
            </w:r>
          </w:p>
        </w:tc>
        <w:tc>
          <w:tcPr>
            <w:tcW w:w="3312" w:type="dxa"/>
            <w:shd w:val="clear" w:color="auto" w:fill="D9EAF7"/>
          </w:tcPr>
          <w:p w14:paraId="4FA6E3C5" w14:textId="77777777" w:rsidR="00A6311E" w:rsidRDefault="00B12F3E">
            <w:pPr>
              <w:spacing w:after="0"/>
            </w:pPr>
            <w:r>
              <w:rPr>
                <w:b/>
                <w:sz w:val="18"/>
              </w:rPr>
              <w:t>Interpretation</w:t>
            </w:r>
          </w:p>
        </w:tc>
      </w:tr>
      <w:tr w:rsidR="00A6311E" w14:paraId="22D077A4" w14:textId="77777777">
        <w:trPr>
          <w:jc w:val="center"/>
        </w:trPr>
        <w:tc>
          <w:tcPr>
            <w:tcW w:w="3312" w:type="dxa"/>
          </w:tcPr>
          <w:p w14:paraId="62F785E5" w14:textId="77777777" w:rsidR="00A6311E" w:rsidRDefault="00B12F3E">
            <w:pPr>
              <w:spacing w:after="0"/>
            </w:pPr>
            <w:r>
              <w:rPr>
                <w:sz w:val="18"/>
              </w:rPr>
              <w:t>Google Trends vs daily return</w:t>
            </w:r>
          </w:p>
        </w:tc>
        <w:tc>
          <w:tcPr>
            <w:tcW w:w="3312" w:type="dxa"/>
          </w:tcPr>
          <w:p w14:paraId="4CD899DA" w14:textId="77777777" w:rsidR="00A6311E" w:rsidRDefault="00B12F3E">
            <w:pPr>
              <w:spacing w:after="0"/>
            </w:pPr>
            <w:r>
              <w:rPr>
                <w:sz w:val="18"/>
              </w:rPr>
              <w:t>Pearson corr. = -0.082; p &lt; 0.001</w:t>
            </w:r>
          </w:p>
        </w:tc>
        <w:tc>
          <w:tcPr>
            <w:tcW w:w="3312" w:type="dxa"/>
          </w:tcPr>
          <w:p w14:paraId="2C931D1C" w14:textId="77777777" w:rsidR="00A6311E" w:rsidRDefault="00B12F3E">
            <w:pPr>
              <w:spacing w:after="0"/>
            </w:pPr>
            <w:r>
              <w:rPr>
                <w:sz w:val="18"/>
              </w:rPr>
              <w:t>Statistically significant but weak relationship with returns</w:t>
            </w:r>
          </w:p>
        </w:tc>
      </w:tr>
      <w:tr w:rsidR="00A6311E" w14:paraId="3C286280" w14:textId="77777777">
        <w:trPr>
          <w:jc w:val="center"/>
        </w:trPr>
        <w:tc>
          <w:tcPr>
            <w:tcW w:w="3312" w:type="dxa"/>
          </w:tcPr>
          <w:p w14:paraId="328A9875" w14:textId="77777777" w:rsidR="00A6311E" w:rsidRDefault="00B12F3E">
            <w:pPr>
              <w:spacing w:after="0"/>
            </w:pPr>
            <w:r>
              <w:rPr>
                <w:sz w:val="18"/>
              </w:rPr>
              <w:t>Google Trends vs 7-day volatility</w:t>
            </w:r>
          </w:p>
        </w:tc>
        <w:tc>
          <w:tcPr>
            <w:tcW w:w="3312" w:type="dxa"/>
          </w:tcPr>
          <w:p w14:paraId="0A079E18" w14:textId="77777777" w:rsidR="00A6311E" w:rsidRDefault="00B12F3E">
            <w:pPr>
              <w:spacing w:after="0"/>
            </w:pPr>
            <w:r>
              <w:rPr>
                <w:sz w:val="18"/>
              </w:rPr>
              <w:t>Spearman corr. = 0.492; p ≈ 7.96e-112</w:t>
            </w:r>
          </w:p>
        </w:tc>
        <w:tc>
          <w:tcPr>
            <w:tcW w:w="3312" w:type="dxa"/>
          </w:tcPr>
          <w:p w14:paraId="6148AD2C" w14:textId="77777777" w:rsidR="00A6311E" w:rsidRDefault="00B12F3E">
            <w:pPr>
              <w:spacing w:after="0"/>
            </w:pPr>
            <w:r>
              <w:rPr>
                <w:sz w:val="18"/>
              </w:rPr>
              <w:t>Strongest relationship; attention is associated with volatility</w:t>
            </w:r>
          </w:p>
        </w:tc>
      </w:tr>
      <w:tr w:rsidR="00A6311E" w14:paraId="2DC1026F" w14:textId="77777777">
        <w:trPr>
          <w:jc w:val="center"/>
        </w:trPr>
        <w:tc>
          <w:tcPr>
            <w:tcW w:w="3312" w:type="dxa"/>
          </w:tcPr>
          <w:p w14:paraId="7457A974" w14:textId="77777777" w:rsidR="00A6311E" w:rsidRDefault="00B12F3E">
            <w:pPr>
              <w:spacing w:after="0"/>
            </w:pPr>
            <w:r>
              <w:rPr>
                <w:sz w:val="18"/>
              </w:rPr>
              <w:t>Previous-week Trends vs volatility</w:t>
            </w:r>
          </w:p>
        </w:tc>
        <w:tc>
          <w:tcPr>
            <w:tcW w:w="3312" w:type="dxa"/>
          </w:tcPr>
          <w:p w14:paraId="620CC8FD" w14:textId="77777777" w:rsidR="00A6311E" w:rsidRDefault="00B12F3E">
            <w:pPr>
              <w:spacing w:after="0"/>
            </w:pPr>
            <w:r>
              <w:rPr>
                <w:sz w:val="18"/>
              </w:rPr>
              <w:t>Spearman corr. = 0.462; p ≈ 3.75e-97</w:t>
            </w:r>
          </w:p>
        </w:tc>
        <w:tc>
          <w:tcPr>
            <w:tcW w:w="3312" w:type="dxa"/>
          </w:tcPr>
          <w:p w14:paraId="1F8789DF" w14:textId="77777777" w:rsidR="00A6311E" w:rsidRDefault="00B12F3E">
            <w:pPr>
              <w:spacing w:after="0"/>
            </w:pPr>
            <w:r>
              <w:rPr>
                <w:sz w:val="18"/>
              </w:rPr>
              <w:t>Lagged attention also relates to volatility</w:t>
            </w:r>
          </w:p>
        </w:tc>
      </w:tr>
      <w:tr w:rsidR="00A6311E" w14:paraId="2DF0C625" w14:textId="77777777">
        <w:trPr>
          <w:jc w:val="center"/>
        </w:trPr>
        <w:tc>
          <w:tcPr>
            <w:tcW w:w="3312" w:type="dxa"/>
          </w:tcPr>
          <w:p w14:paraId="60872EAB" w14:textId="77777777" w:rsidR="00A6311E" w:rsidRDefault="00B12F3E">
            <w:pPr>
              <w:spacing w:after="0"/>
            </w:pPr>
            <w:r>
              <w:rPr>
                <w:sz w:val="18"/>
              </w:rPr>
              <w:t>Fear &amp; Greed vs return</w:t>
            </w:r>
          </w:p>
        </w:tc>
        <w:tc>
          <w:tcPr>
            <w:tcW w:w="3312" w:type="dxa"/>
          </w:tcPr>
          <w:p w14:paraId="3D1647DD" w14:textId="77777777" w:rsidR="00A6311E" w:rsidRDefault="00B12F3E">
            <w:pPr>
              <w:spacing w:after="0"/>
            </w:pPr>
            <w:r>
              <w:rPr>
                <w:sz w:val="18"/>
              </w:rPr>
              <w:t>Spearman corr. = 0.178; p ≈ 1.57e-14</w:t>
            </w:r>
          </w:p>
        </w:tc>
        <w:tc>
          <w:tcPr>
            <w:tcW w:w="3312" w:type="dxa"/>
          </w:tcPr>
          <w:p w14:paraId="1ACFB8C9" w14:textId="77777777" w:rsidR="00A6311E" w:rsidRDefault="00B12F3E">
            <w:pPr>
              <w:spacing w:after="0"/>
            </w:pPr>
            <w:r>
              <w:rPr>
                <w:sz w:val="18"/>
              </w:rPr>
              <w:t>Same-day sentiment relates to return, but effect is limited</w:t>
            </w:r>
          </w:p>
        </w:tc>
      </w:tr>
      <w:tr w:rsidR="00A6311E" w14:paraId="7B9F088A" w14:textId="77777777">
        <w:trPr>
          <w:jc w:val="center"/>
        </w:trPr>
        <w:tc>
          <w:tcPr>
            <w:tcW w:w="3312" w:type="dxa"/>
          </w:tcPr>
          <w:p w14:paraId="08EE4C17" w14:textId="77777777" w:rsidR="00A6311E" w:rsidRDefault="00B12F3E">
            <w:pPr>
              <w:spacing w:after="0"/>
            </w:pPr>
            <w:r>
              <w:rPr>
                <w:sz w:val="18"/>
              </w:rPr>
              <w:t>Previous-week Fear &amp; Greed vs return</w:t>
            </w:r>
          </w:p>
        </w:tc>
        <w:tc>
          <w:tcPr>
            <w:tcW w:w="3312" w:type="dxa"/>
          </w:tcPr>
          <w:p w14:paraId="38E9CF3E" w14:textId="77777777" w:rsidR="00A6311E" w:rsidRDefault="00B12F3E">
            <w:pPr>
              <w:spacing w:after="0"/>
            </w:pPr>
            <w:r>
              <w:rPr>
                <w:sz w:val="18"/>
              </w:rPr>
              <w:t>Spearman corr. = 0.004; p = 0.879</w:t>
            </w:r>
          </w:p>
        </w:tc>
        <w:tc>
          <w:tcPr>
            <w:tcW w:w="3312" w:type="dxa"/>
          </w:tcPr>
          <w:p w14:paraId="7CC062E6" w14:textId="77777777" w:rsidR="00A6311E" w:rsidRDefault="00B12F3E">
            <w:pPr>
              <w:spacing w:after="0"/>
            </w:pPr>
            <w:r>
              <w:rPr>
                <w:sz w:val="18"/>
              </w:rPr>
              <w:t>Lagged sentiment does not strongly predict next-day returns</w:t>
            </w:r>
          </w:p>
        </w:tc>
      </w:tr>
    </w:tbl>
    <w:p w14:paraId="1F17810F" w14:textId="77777777" w:rsidR="00A6311E" w:rsidRDefault="00B12F3E">
      <w:r>
        <w:t>The strongest evidence comes from the relationship between Google Trends and volatility. This supports the interpretation that public search attention reflects market turbulence and emotional intensity more than reliable next-day price direction.</w:t>
      </w:r>
    </w:p>
    <w:p w14:paraId="63BED7B7" w14:textId="77777777" w:rsidR="00A6311E" w:rsidRDefault="00B12F3E">
      <w:pPr>
        <w:pStyle w:val="Balk1"/>
      </w:pPr>
      <w:r>
        <w:t>7. Machine Learning Models</w:t>
      </w:r>
    </w:p>
    <w:p w14:paraId="2B667B52" w14:textId="77777777" w:rsidR="00A6311E" w:rsidRDefault="00B12F3E">
      <w:r>
        <w:t>Supervised classification models were trained to predict target_up_next_day. The models included a majority-class baseline, Logistic Regression, and Random Forest. Multiple feature sets were evaluated to test whether attention and sentiment variables add predictive value beyond market-only variables.</w:t>
      </w:r>
    </w:p>
    <w:p w14:paraId="1595CB96" w14:textId="77777777" w:rsidR="00A6311E" w:rsidRDefault="00B12F3E">
      <w:pPr>
        <w:pStyle w:val="ListeMaddemi"/>
      </w:pPr>
      <w:r>
        <w:t>Market-only features</w:t>
      </w:r>
    </w:p>
    <w:p w14:paraId="2EB00851" w14:textId="77777777" w:rsidR="00A6311E" w:rsidRDefault="00B12F3E">
      <w:pPr>
        <w:pStyle w:val="ListeMaddemi"/>
      </w:pPr>
      <w:r>
        <w:t>Google Trends-only features</w:t>
      </w:r>
    </w:p>
    <w:p w14:paraId="323BE890" w14:textId="77777777" w:rsidR="00A6311E" w:rsidRDefault="00B12F3E">
      <w:pPr>
        <w:pStyle w:val="ListeMaddemi"/>
      </w:pPr>
      <w:r>
        <w:t>Fear &amp; Greed-only features</w:t>
      </w:r>
    </w:p>
    <w:p w14:paraId="3F55ADAF" w14:textId="77777777" w:rsidR="00A6311E" w:rsidRDefault="00B12F3E">
      <w:pPr>
        <w:pStyle w:val="ListeMaddemi"/>
      </w:pPr>
      <w:r>
        <w:t>Market + Google Trends features</w:t>
      </w:r>
    </w:p>
    <w:p w14:paraId="54F4F674" w14:textId="77777777" w:rsidR="00A6311E" w:rsidRDefault="00B12F3E">
      <w:pPr>
        <w:pStyle w:val="ListeMaddemi"/>
      </w:pPr>
      <w:r>
        <w:t>Market + Fear &amp; Greed features</w:t>
      </w:r>
    </w:p>
    <w:p w14:paraId="549F9ED9" w14:textId="77777777" w:rsidR="00A6311E" w:rsidRDefault="00B12F3E">
      <w:pPr>
        <w:pStyle w:val="ListeMaddemi"/>
      </w:pPr>
      <w:r>
        <w:t>Market + Google Trends + Fear &amp; Greed features</w:t>
      </w:r>
    </w:p>
    <w:p w14:paraId="0A9DDB74" w14:textId="77777777" w:rsidR="00A6311E" w:rsidRDefault="00B12F3E">
      <w:r>
        <w:t>Performance was evaluated using accuracy, precision, recall, F1-score, and ROC-AUC. F1-score is useful because it summarizes the balance between precision and recall, while ROC-AUC evaluates ranking ability across decision thresholds.</w:t>
      </w:r>
    </w:p>
    <w:p w14:paraId="64F8A4D7" w14:textId="77777777" w:rsidR="00A6311E" w:rsidRDefault="00B12F3E">
      <w:pPr>
        <w:pStyle w:val="Balk1"/>
      </w:pPr>
      <w:r>
        <w:t>8. Results</w:t>
      </w:r>
    </w:p>
    <w:p w14:paraId="31D8B2AF" w14:textId="77777777" w:rsidR="00A6311E" w:rsidRDefault="00B12F3E">
      <w:r>
        <w:t>The machine learning results show that next-day Bitcoin direction remains difficult to classify. The best F1-scores were approximately in the 0.49–0.55 range, and ROC-AUC values remained modest.</w:t>
      </w:r>
    </w:p>
    <w:tbl>
      <w:tblPr>
        <w:tblStyle w:val="TabloKlavuzu"/>
        <w:tblW w:w="0" w:type="auto"/>
        <w:jc w:val="center"/>
        <w:tblLook w:val="04A0" w:firstRow="1" w:lastRow="0" w:firstColumn="1" w:lastColumn="0" w:noHBand="0" w:noVBand="1"/>
      </w:tblPr>
      <w:tblGrid>
        <w:gridCol w:w="1987"/>
        <w:gridCol w:w="1987"/>
        <w:gridCol w:w="1987"/>
        <w:gridCol w:w="1987"/>
        <w:gridCol w:w="1987"/>
      </w:tblGrid>
      <w:tr w:rsidR="00A6311E" w14:paraId="5B517722" w14:textId="77777777">
        <w:trPr>
          <w:jc w:val="center"/>
        </w:trPr>
        <w:tc>
          <w:tcPr>
            <w:tcW w:w="1987" w:type="dxa"/>
            <w:shd w:val="clear" w:color="auto" w:fill="D9EAF7"/>
          </w:tcPr>
          <w:p w14:paraId="614BB099" w14:textId="77777777" w:rsidR="00A6311E" w:rsidRDefault="00B12F3E">
            <w:pPr>
              <w:spacing w:after="0"/>
            </w:pPr>
            <w:r>
              <w:rPr>
                <w:b/>
                <w:sz w:val="18"/>
              </w:rPr>
              <w:t>Model</w:t>
            </w:r>
          </w:p>
        </w:tc>
        <w:tc>
          <w:tcPr>
            <w:tcW w:w="1987" w:type="dxa"/>
            <w:shd w:val="clear" w:color="auto" w:fill="D9EAF7"/>
          </w:tcPr>
          <w:p w14:paraId="2FC2D34C" w14:textId="77777777" w:rsidR="00A6311E" w:rsidRDefault="00B12F3E">
            <w:pPr>
              <w:spacing w:after="0"/>
            </w:pPr>
            <w:r>
              <w:rPr>
                <w:b/>
                <w:sz w:val="18"/>
              </w:rPr>
              <w:t>Feature set</w:t>
            </w:r>
          </w:p>
        </w:tc>
        <w:tc>
          <w:tcPr>
            <w:tcW w:w="1987" w:type="dxa"/>
            <w:shd w:val="clear" w:color="auto" w:fill="D9EAF7"/>
          </w:tcPr>
          <w:p w14:paraId="6030CBCC" w14:textId="77777777" w:rsidR="00A6311E" w:rsidRDefault="00B12F3E">
            <w:pPr>
              <w:spacing w:after="0"/>
            </w:pPr>
            <w:r>
              <w:rPr>
                <w:b/>
                <w:sz w:val="18"/>
              </w:rPr>
              <w:t>Accuracy</w:t>
            </w:r>
          </w:p>
        </w:tc>
        <w:tc>
          <w:tcPr>
            <w:tcW w:w="1987" w:type="dxa"/>
            <w:shd w:val="clear" w:color="auto" w:fill="D9EAF7"/>
          </w:tcPr>
          <w:p w14:paraId="4B072BFF" w14:textId="77777777" w:rsidR="00A6311E" w:rsidRDefault="00B12F3E">
            <w:pPr>
              <w:spacing w:after="0"/>
            </w:pPr>
            <w:r>
              <w:rPr>
                <w:b/>
                <w:sz w:val="18"/>
              </w:rPr>
              <w:t>F1</w:t>
            </w:r>
          </w:p>
        </w:tc>
        <w:tc>
          <w:tcPr>
            <w:tcW w:w="1987" w:type="dxa"/>
            <w:shd w:val="clear" w:color="auto" w:fill="D9EAF7"/>
          </w:tcPr>
          <w:p w14:paraId="6D2FBC23" w14:textId="77777777" w:rsidR="00A6311E" w:rsidRDefault="00B12F3E">
            <w:pPr>
              <w:spacing w:after="0"/>
            </w:pPr>
            <w:r>
              <w:rPr>
                <w:b/>
                <w:sz w:val="18"/>
              </w:rPr>
              <w:t>ROC-AUC</w:t>
            </w:r>
          </w:p>
        </w:tc>
      </w:tr>
      <w:tr w:rsidR="00A6311E" w14:paraId="22BFA354" w14:textId="77777777">
        <w:trPr>
          <w:jc w:val="center"/>
        </w:trPr>
        <w:tc>
          <w:tcPr>
            <w:tcW w:w="1987" w:type="dxa"/>
          </w:tcPr>
          <w:p w14:paraId="5F544D42" w14:textId="77777777" w:rsidR="00A6311E" w:rsidRDefault="00B12F3E">
            <w:pPr>
              <w:spacing w:after="0"/>
            </w:pPr>
            <w:r>
              <w:rPr>
                <w:sz w:val="18"/>
              </w:rPr>
              <w:t>Random Forest</w:t>
            </w:r>
          </w:p>
        </w:tc>
        <w:tc>
          <w:tcPr>
            <w:tcW w:w="1987" w:type="dxa"/>
          </w:tcPr>
          <w:p w14:paraId="4024CB1F" w14:textId="77777777" w:rsidR="00A6311E" w:rsidRDefault="00B12F3E">
            <w:pPr>
              <w:spacing w:after="0"/>
            </w:pPr>
            <w:r>
              <w:rPr>
                <w:sz w:val="18"/>
              </w:rPr>
              <w:t>Google Trends only</w:t>
            </w:r>
          </w:p>
        </w:tc>
        <w:tc>
          <w:tcPr>
            <w:tcW w:w="1987" w:type="dxa"/>
          </w:tcPr>
          <w:p w14:paraId="5E913E8C" w14:textId="77777777" w:rsidR="00A6311E" w:rsidRDefault="00B12F3E">
            <w:pPr>
              <w:spacing w:after="0"/>
            </w:pPr>
            <w:r>
              <w:rPr>
                <w:sz w:val="18"/>
              </w:rPr>
              <w:t>0.500</w:t>
            </w:r>
          </w:p>
        </w:tc>
        <w:tc>
          <w:tcPr>
            <w:tcW w:w="1987" w:type="dxa"/>
          </w:tcPr>
          <w:p w14:paraId="05197C58" w14:textId="77777777" w:rsidR="00A6311E" w:rsidRDefault="00B12F3E">
            <w:pPr>
              <w:spacing w:after="0"/>
            </w:pPr>
            <w:r>
              <w:rPr>
                <w:sz w:val="18"/>
              </w:rPr>
              <w:t>0.550</w:t>
            </w:r>
          </w:p>
        </w:tc>
        <w:tc>
          <w:tcPr>
            <w:tcW w:w="1987" w:type="dxa"/>
          </w:tcPr>
          <w:p w14:paraId="3DC3FCA2" w14:textId="77777777" w:rsidR="00A6311E" w:rsidRDefault="00B12F3E">
            <w:pPr>
              <w:spacing w:after="0"/>
            </w:pPr>
            <w:r>
              <w:rPr>
                <w:sz w:val="18"/>
              </w:rPr>
              <w:t>0.482</w:t>
            </w:r>
          </w:p>
        </w:tc>
      </w:tr>
      <w:tr w:rsidR="00A6311E" w14:paraId="77ADE238" w14:textId="77777777">
        <w:trPr>
          <w:jc w:val="center"/>
        </w:trPr>
        <w:tc>
          <w:tcPr>
            <w:tcW w:w="1987" w:type="dxa"/>
          </w:tcPr>
          <w:p w14:paraId="2CE98424" w14:textId="77777777" w:rsidR="00A6311E" w:rsidRDefault="00B12F3E">
            <w:pPr>
              <w:spacing w:after="0"/>
            </w:pPr>
            <w:r>
              <w:rPr>
                <w:sz w:val="18"/>
              </w:rPr>
              <w:t>Random Forest</w:t>
            </w:r>
          </w:p>
        </w:tc>
        <w:tc>
          <w:tcPr>
            <w:tcW w:w="1987" w:type="dxa"/>
          </w:tcPr>
          <w:p w14:paraId="157F1C84" w14:textId="77777777" w:rsidR="00A6311E" w:rsidRDefault="00B12F3E">
            <w:pPr>
              <w:spacing w:after="0"/>
            </w:pPr>
            <w:r>
              <w:rPr>
                <w:sz w:val="18"/>
              </w:rPr>
              <w:t>Fear &amp; Greed only</w:t>
            </w:r>
          </w:p>
        </w:tc>
        <w:tc>
          <w:tcPr>
            <w:tcW w:w="1987" w:type="dxa"/>
          </w:tcPr>
          <w:p w14:paraId="4875B9B6" w14:textId="77777777" w:rsidR="00A6311E" w:rsidRDefault="00B12F3E">
            <w:pPr>
              <w:spacing w:after="0"/>
            </w:pPr>
            <w:r>
              <w:rPr>
                <w:sz w:val="18"/>
              </w:rPr>
              <w:t>0.522</w:t>
            </w:r>
          </w:p>
        </w:tc>
        <w:tc>
          <w:tcPr>
            <w:tcW w:w="1987" w:type="dxa"/>
          </w:tcPr>
          <w:p w14:paraId="67625913" w14:textId="77777777" w:rsidR="00A6311E" w:rsidRDefault="00B12F3E">
            <w:pPr>
              <w:spacing w:after="0"/>
            </w:pPr>
            <w:r>
              <w:rPr>
                <w:sz w:val="18"/>
              </w:rPr>
              <w:t>0.545</w:t>
            </w:r>
          </w:p>
        </w:tc>
        <w:tc>
          <w:tcPr>
            <w:tcW w:w="1987" w:type="dxa"/>
          </w:tcPr>
          <w:p w14:paraId="43002590" w14:textId="77777777" w:rsidR="00A6311E" w:rsidRDefault="00B12F3E">
            <w:pPr>
              <w:spacing w:after="0"/>
            </w:pPr>
            <w:r>
              <w:rPr>
                <w:sz w:val="18"/>
              </w:rPr>
              <w:t>0.509</w:t>
            </w:r>
          </w:p>
        </w:tc>
      </w:tr>
      <w:tr w:rsidR="00A6311E" w14:paraId="615420C1" w14:textId="77777777">
        <w:trPr>
          <w:jc w:val="center"/>
        </w:trPr>
        <w:tc>
          <w:tcPr>
            <w:tcW w:w="1987" w:type="dxa"/>
          </w:tcPr>
          <w:p w14:paraId="64CC8789" w14:textId="77777777" w:rsidR="00A6311E" w:rsidRDefault="00B12F3E">
            <w:pPr>
              <w:spacing w:after="0"/>
            </w:pPr>
            <w:r>
              <w:rPr>
                <w:sz w:val="18"/>
              </w:rPr>
              <w:t>Random Forest</w:t>
            </w:r>
          </w:p>
        </w:tc>
        <w:tc>
          <w:tcPr>
            <w:tcW w:w="1987" w:type="dxa"/>
          </w:tcPr>
          <w:p w14:paraId="15788317" w14:textId="77777777" w:rsidR="00A6311E" w:rsidRDefault="00B12F3E">
            <w:pPr>
              <w:spacing w:after="0"/>
            </w:pPr>
            <w:r>
              <w:rPr>
                <w:sz w:val="18"/>
              </w:rPr>
              <w:t>Market + Google Trends</w:t>
            </w:r>
          </w:p>
        </w:tc>
        <w:tc>
          <w:tcPr>
            <w:tcW w:w="1987" w:type="dxa"/>
          </w:tcPr>
          <w:p w14:paraId="4B49C78C" w14:textId="77777777" w:rsidR="00A6311E" w:rsidRDefault="00B12F3E">
            <w:pPr>
              <w:spacing w:after="0"/>
            </w:pPr>
            <w:r>
              <w:rPr>
                <w:sz w:val="18"/>
              </w:rPr>
              <w:t>0.538</w:t>
            </w:r>
          </w:p>
        </w:tc>
        <w:tc>
          <w:tcPr>
            <w:tcW w:w="1987" w:type="dxa"/>
          </w:tcPr>
          <w:p w14:paraId="6879168E" w14:textId="77777777" w:rsidR="00A6311E" w:rsidRDefault="00B12F3E">
            <w:pPr>
              <w:spacing w:after="0"/>
            </w:pPr>
            <w:r>
              <w:rPr>
                <w:sz w:val="18"/>
              </w:rPr>
              <w:t>0.540</w:t>
            </w:r>
          </w:p>
        </w:tc>
        <w:tc>
          <w:tcPr>
            <w:tcW w:w="1987" w:type="dxa"/>
          </w:tcPr>
          <w:p w14:paraId="0863377B" w14:textId="77777777" w:rsidR="00A6311E" w:rsidRDefault="00B12F3E">
            <w:pPr>
              <w:spacing w:after="0"/>
            </w:pPr>
            <w:r>
              <w:rPr>
                <w:sz w:val="18"/>
              </w:rPr>
              <w:t>0.528</w:t>
            </w:r>
          </w:p>
        </w:tc>
      </w:tr>
      <w:tr w:rsidR="00A6311E" w14:paraId="6E3888DD" w14:textId="77777777">
        <w:trPr>
          <w:jc w:val="center"/>
        </w:trPr>
        <w:tc>
          <w:tcPr>
            <w:tcW w:w="1987" w:type="dxa"/>
          </w:tcPr>
          <w:p w14:paraId="7379795B" w14:textId="77777777" w:rsidR="00A6311E" w:rsidRDefault="00B12F3E">
            <w:pPr>
              <w:spacing w:after="0"/>
            </w:pPr>
            <w:r>
              <w:rPr>
                <w:sz w:val="18"/>
              </w:rPr>
              <w:t>Random Forest</w:t>
            </w:r>
          </w:p>
        </w:tc>
        <w:tc>
          <w:tcPr>
            <w:tcW w:w="1987" w:type="dxa"/>
          </w:tcPr>
          <w:p w14:paraId="163191D2" w14:textId="77777777" w:rsidR="00A6311E" w:rsidRDefault="00B12F3E">
            <w:pPr>
              <w:spacing w:after="0"/>
            </w:pPr>
            <w:r>
              <w:rPr>
                <w:sz w:val="18"/>
              </w:rPr>
              <w:t>Market only</w:t>
            </w:r>
          </w:p>
        </w:tc>
        <w:tc>
          <w:tcPr>
            <w:tcW w:w="1987" w:type="dxa"/>
          </w:tcPr>
          <w:p w14:paraId="06B3DF36" w14:textId="77777777" w:rsidR="00A6311E" w:rsidRDefault="00B12F3E">
            <w:pPr>
              <w:spacing w:after="0"/>
            </w:pPr>
            <w:r>
              <w:rPr>
                <w:sz w:val="18"/>
              </w:rPr>
              <w:t>0.546</w:t>
            </w:r>
          </w:p>
        </w:tc>
        <w:tc>
          <w:tcPr>
            <w:tcW w:w="1987" w:type="dxa"/>
          </w:tcPr>
          <w:p w14:paraId="3D86DDC1" w14:textId="77777777" w:rsidR="00A6311E" w:rsidRDefault="00B12F3E">
            <w:pPr>
              <w:spacing w:after="0"/>
            </w:pPr>
            <w:r>
              <w:rPr>
                <w:sz w:val="18"/>
              </w:rPr>
              <w:t>0.531</w:t>
            </w:r>
          </w:p>
        </w:tc>
        <w:tc>
          <w:tcPr>
            <w:tcW w:w="1987" w:type="dxa"/>
          </w:tcPr>
          <w:p w14:paraId="79F6055C" w14:textId="77777777" w:rsidR="00A6311E" w:rsidRDefault="00B12F3E">
            <w:pPr>
              <w:spacing w:after="0"/>
            </w:pPr>
            <w:r>
              <w:rPr>
                <w:sz w:val="18"/>
              </w:rPr>
              <w:t>0.545</w:t>
            </w:r>
          </w:p>
        </w:tc>
      </w:tr>
      <w:tr w:rsidR="00A6311E" w14:paraId="67567A51" w14:textId="77777777">
        <w:trPr>
          <w:jc w:val="center"/>
        </w:trPr>
        <w:tc>
          <w:tcPr>
            <w:tcW w:w="1987" w:type="dxa"/>
          </w:tcPr>
          <w:p w14:paraId="09E77C9A" w14:textId="77777777" w:rsidR="00A6311E" w:rsidRDefault="00B12F3E">
            <w:pPr>
              <w:spacing w:after="0"/>
            </w:pPr>
            <w:r>
              <w:rPr>
                <w:sz w:val="18"/>
              </w:rPr>
              <w:lastRenderedPageBreak/>
              <w:t>Logistic Regression</w:t>
            </w:r>
          </w:p>
        </w:tc>
        <w:tc>
          <w:tcPr>
            <w:tcW w:w="1987" w:type="dxa"/>
          </w:tcPr>
          <w:p w14:paraId="10A3CC3B" w14:textId="77777777" w:rsidR="00A6311E" w:rsidRDefault="00B12F3E">
            <w:pPr>
              <w:spacing w:after="0"/>
            </w:pPr>
            <w:r>
              <w:rPr>
                <w:sz w:val="18"/>
              </w:rPr>
              <w:t>Market only</w:t>
            </w:r>
          </w:p>
        </w:tc>
        <w:tc>
          <w:tcPr>
            <w:tcW w:w="1987" w:type="dxa"/>
          </w:tcPr>
          <w:p w14:paraId="76DEB452" w14:textId="77777777" w:rsidR="00A6311E" w:rsidRDefault="00B12F3E">
            <w:pPr>
              <w:spacing w:after="0"/>
            </w:pPr>
            <w:r>
              <w:rPr>
                <w:sz w:val="18"/>
              </w:rPr>
              <w:t>0.497</w:t>
            </w:r>
          </w:p>
        </w:tc>
        <w:tc>
          <w:tcPr>
            <w:tcW w:w="1987" w:type="dxa"/>
          </w:tcPr>
          <w:p w14:paraId="58B8932A" w14:textId="77777777" w:rsidR="00A6311E" w:rsidRDefault="00B12F3E">
            <w:pPr>
              <w:spacing w:after="0"/>
            </w:pPr>
            <w:r>
              <w:rPr>
                <w:sz w:val="18"/>
              </w:rPr>
              <w:t>0.531</w:t>
            </w:r>
          </w:p>
        </w:tc>
        <w:tc>
          <w:tcPr>
            <w:tcW w:w="1987" w:type="dxa"/>
          </w:tcPr>
          <w:p w14:paraId="3BF2A952" w14:textId="77777777" w:rsidR="00A6311E" w:rsidRDefault="00B12F3E">
            <w:pPr>
              <w:spacing w:after="0"/>
            </w:pPr>
            <w:r>
              <w:rPr>
                <w:sz w:val="18"/>
              </w:rPr>
              <w:t>0.504</w:t>
            </w:r>
          </w:p>
        </w:tc>
      </w:tr>
      <w:tr w:rsidR="00A6311E" w14:paraId="0C0B72E0" w14:textId="77777777">
        <w:trPr>
          <w:jc w:val="center"/>
        </w:trPr>
        <w:tc>
          <w:tcPr>
            <w:tcW w:w="1987" w:type="dxa"/>
          </w:tcPr>
          <w:p w14:paraId="7B9F52DC" w14:textId="77777777" w:rsidR="00A6311E" w:rsidRDefault="00B12F3E">
            <w:pPr>
              <w:spacing w:after="0"/>
            </w:pPr>
            <w:r>
              <w:rPr>
                <w:sz w:val="18"/>
              </w:rPr>
              <w:t>Random Forest</w:t>
            </w:r>
          </w:p>
        </w:tc>
        <w:tc>
          <w:tcPr>
            <w:tcW w:w="1987" w:type="dxa"/>
          </w:tcPr>
          <w:p w14:paraId="2A3AAF2B" w14:textId="77777777" w:rsidR="00A6311E" w:rsidRDefault="00B12F3E">
            <w:pPr>
              <w:spacing w:after="0"/>
            </w:pPr>
            <w:r>
              <w:rPr>
                <w:sz w:val="18"/>
              </w:rPr>
              <w:t>Market + Fear &amp; Greed</w:t>
            </w:r>
          </w:p>
        </w:tc>
        <w:tc>
          <w:tcPr>
            <w:tcW w:w="1987" w:type="dxa"/>
          </w:tcPr>
          <w:p w14:paraId="285ED82B" w14:textId="77777777" w:rsidR="00A6311E" w:rsidRDefault="00B12F3E">
            <w:pPr>
              <w:spacing w:after="0"/>
            </w:pPr>
            <w:r>
              <w:rPr>
                <w:sz w:val="18"/>
              </w:rPr>
              <w:t>0.538</w:t>
            </w:r>
          </w:p>
        </w:tc>
        <w:tc>
          <w:tcPr>
            <w:tcW w:w="1987" w:type="dxa"/>
          </w:tcPr>
          <w:p w14:paraId="5997B167" w14:textId="77777777" w:rsidR="00A6311E" w:rsidRDefault="00B12F3E">
            <w:pPr>
              <w:spacing w:after="0"/>
            </w:pPr>
            <w:r>
              <w:rPr>
                <w:sz w:val="18"/>
              </w:rPr>
              <w:t>0.529</w:t>
            </w:r>
          </w:p>
        </w:tc>
        <w:tc>
          <w:tcPr>
            <w:tcW w:w="1987" w:type="dxa"/>
          </w:tcPr>
          <w:p w14:paraId="2B7D96B5" w14:textId="77777777" w:rsidR="00A6311E" w:rsidRDefault="00B12F3E">
            <w:pPr>
              <w:spacing w:after="0"/>
            </w:pPr>
            <w:r>
              <w:rPr>
                <w:sz w:val="18"/>
              </w:rPr>
              <w:t>0.540</w:t>
            </w:r>
          </w:p>
        </w:tc>
      </w:tr>
    </w:tbl>
    <w:p w14:paraId="2E42BC0A" w14:textId="77777777" w:rsidR="00A6311E" w:rsidRDefault="00B12F3E">
      <w:r>
        <w:t>Although some Random Forest models achieved slightly higher performance than the baseline, the improvement was not strong enough to support reliable short-term trading-style prediction. The combined feature set did not clearly outperform simpler market-only models.</w:t>
      </w:r>
    </w:p>
    <w:p w14:paraId="51349C1B" w14:textId="77777777" w:rsidR="00A6311E" w:rsidRDefault="00A6311E">
      <w:pPr>
        <w:spacing w:before="160" w:after="80"/>
        <w:jc w:val="center"/>
      </w:pPr>
    </w:p>
    <w:tbl>
      <w:tblPr>
        <w:tblW w:w="0" w:type="auto"/>
        <w:jc w:val="center"/>
        <w:tblLook w:val="04A0" w:firstRow="1" w:lastRow="0" w:firstColumn="1" w:lastColumn="0" w:noHBand="0" w:noVBand="1"/>
      </w:tblPr>
      <w:tblGrid>
        <w:gridCol w:w="10152"/>
      </w:tblGrid>
      <w:tr w:rsidR="00A6311E" w14:paraId="703A198B" w14:textId="77777777">
        <w:trPr>
          <w:jc w:val="center"/>
        </w:trPr>
        <w:tc>
          <w:tcPr>
            <w:tcW w:w="9936" w:type="dxa"/>
            <w:tcBorders>
              <w:top w:val="single" w:sz="8" w:space="0" w:color="7F7F7F"/>
              <w:left w:val="single" w:sz="8" w:space="0" w:color="7F7F7F"/>
              <w:bottom w:val="single" w:sz="8" w:space="0" w:color="7F7F7F"/>
              <w:right w:val="single" w:sz="8" w:space="0" w:color="7F7F7F"/>
            </w:tcBorders>
            <w:shd w:val="clear" w:color="auto" w:fill="EDEDED"/>
            <w:vAlign w:val="center"/>
          </w:tcPr>
          <w:p w14:paraId="6A5594CB" w14:textId="60ABEF1E" w:rsidR="00A6311E" w:rsidRDefault="00C231BB">
            <w:pPr>
              <w:jc w:val="center"/>
            </w:pPr>
            <w:r>
              <w:rPr>
                <w:noProof/>
              </w:rPr>
              <w:drawing>
                <wp:inline distT="0" distB="0" distL="0" distR="0" wp14:anchorId="3F013CF9" wp14:editId="50E65B75">
                  <wp:extent cx="6309360" cy="3651885"/>
                  <wp:effectExtent l="0" t="0" r="0" b="5715"/>
                  <wp:docPr id="787833300"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33300" name="Resim 787833300"/>
                          <pic:cNvPicPr/>
                        </pic:nvPicPr>
                        <pic:blipFill>
                          <a:blip r:embed="rId18"/>
                          <a:stretch>
                            <a:fillRect/>
                          </a:stretch>
                        </pic:blipFill>
                        <pic:spPr>
                          <a:xfrm>
                            <a:off x="0" y="0"/>
                            <a:ext cx="6309360" cy="3651885"/>
                          </a:xfrm>
                          <a:prstGeom prst="rect">
                            <a:avLst/>
                          </a:prstGeom>
                        </pic:spPr>
                      </pic:pic>
                    </a:graphicData>
                  </a:graphic>
                </wp:inline>
              </w:drawing>
            </w:r>
          </w:p>
        </w:tc>
      </w:tr>
    </w:tbl>
    <w:p w14:paraId="7FF2D59D" w14:textId="6DC3F06E" w:rsidR="00A6311E" w:rsidRDefault="00B12F3E">
      <w:pPr>
        <w:pStyle w:val="ResimYazs"/>
        <w:spacing w:after="200"/>
        <w:jc w:val="center"/>
      </w:pPr>
      <w:r>
        <w:t>Figure 7. F1-score comparison across model and feature-set combinations.</w:t>
      </w:r>
    </w:p>
    <w:p w14:paraId="21F9EC70" w14:textId="777E4202" w:rsidR="00A6311E" w:rsidRDefault="0086589E">
      <w:pPr>
        <w:spacing w:before="160" w:after="80"/>
        <w:jc w:val="center"/>
      </w:pPr>
      <w:r w:rsidRPr="0086589E">
        <w:t>Figure</w:t>
      </w:r>
      <w:r>
        <w:t xml:space="preserve"> 7</w:t>
      </w:r>
      <w:r w:rsidRPr="0086589E">
        <w:t xml:space="preserve"> compares F1-scores across different model and feature-set combinations, showing that predictive performance remains limited across all tested configurations.</w:t>
      </w:r>
    </w:p>
    <w:tbl>
      <w:tblPr>
        <w:tblW w:w="0" w:type="auto"/>
        <w:jc w:val="center"/>
        <w:tblLook w:val="04A0" w:firstRow="1" w:lastRow="0" w:firstColumn="1" w:lastColumn="0" w:noHBand="0" w:noVBand="1"/>
      </w:tblPr>
      <w:tblGrid>
        <w:gridCol w:w="10152"/>
      </w:tblGrid>
      <w:tr w:rsidR="00A6311E" w14:paraId="196DF785" w14:textId="77777777">
        <w:trPr>
          <w:jc w:val="center"/>
        </w:trPr>
        <w:tc>
          <w:tcPr>
            <w:tcW w:w="9936" w:type="dxa"/>
            <w:tcBorders>
              <w:top w:val="single" w:sz="8" w:space="0" w:color="7F7F7F"/>
              <w:left w:val="single" w:sz="8" w:space="0" w:color="7F7F7F"/>
              <w:bottom w:val="single" w:sz="8" w:space="0" w:color="7F7F7F"/>
              <w:right w:val="single" w:sz="8" w:space="0" w:color="7F7F7F"/>
            </w:tcBorders>
            <w:shd w:val="clear" w:color="auto" w:fill="EDEDED"/>
            <w:vAlign w:val="center"/>
          </w:tcPr>
          <w:p w14:paraId="0BF036AB" w14:textId="05DA33CB" w:rsidR="00A6311E" w:rsidRDefault="00C231BB">
            <w:pPr>
              <w:jc w:val="center"/>
            </w:pPr>
            <w:r>
              <w:rPr>
                <w:noProof/>
              </w:rPr>
              <w:lastRenderedPageBreak/>
              <w:drawing>
                <wp:inline distT="0" distB="0" distL="0" distR="0" wp14:anchorId="1F019D62" wp14:editId="480AACB1">
                  <wp:extent cx="6309360" cy="3646805"/>
                  <wp:effectExtent l="0" t="0" r="0" b="0"/>
                  <wp:docPr id="1565519486"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19486" name="Resim 1565519486"/>
                          <pic:cNvPicPr/>
                        </pic:nvPicPr>
                        <pic:blipFill>
                          <a:blip r:embed="rId19"/>
                          <a:stretch>
                            <a:fillRect/>
                          </a:stretch>
                        </pic:blipFill>
                        <pic:spPr>
                          <a:xfrm>
                            <a:off x="0" y="0"/>
                            <a:ext cx="6309360" cy="3646805"/>
                          </a:xfrm>
                          <a:prstGeom prst="rect">
                            <a:avLst/>
                          </a:prstGeom>
                        </pic:spPr>
                      </pic:pic>
                    </a:graphicData>
                  </a:graphic>
                </wp:inline>
              </w:drawing>
            </w:r>
          </w:p>
        </w:tc>
      </w:tr>
    </w:tbl>
    <w:p w14:paraId="2ABD620A" w14:textId="0CD909F8" w:rsidR="00A6311E" w:rsidRDefault="00B12F3E">
      <w:pPr>
        <w:pStyle w:val="ResimYazs"/>
        <w:spacing w:after="200"/>
        <w:jc w:val="center"/>
      </w:pPr>
      <w:r>
        <w:t>Figure 8. ROC-AUC comparison across model and feature-set combinations.</w:t>
      </w:r>
    </w:p>
    <w:p w14:paraId="64FBFB2E" w14:textId="4551F45F" w:rsidR="00600765" w:rsidRPr="00600765" w:rsidRDefault="00600765" w:rsidP="00600765">
      <w:pPr>
        <w:jc w:val="center"/>
      </w:pPr>
      <w:r w:rsidRPr="00600765">
        <w:t>This figure compares ROC-AUC values across different model and feature-set combinations. The results show that adding attention and sentiment features does not produce a strong improvement over market-only models.</w:t>
      </w:r>
    </w:p>
    <w:p w14:paraId="3E66E05E" w14:textId="77777777" w:rsidR="00A6311E" w:rsidRDefault="00B12F3E">
      <w:pPr>
        <w:pStyle w:val="Balk1"/>
      </w:pPr>
      <w:r>
        <w:t>9. Model Interpretation</w:t>
      </w:r>
    </w:p>
    <w:p w14:paraId="0BBA3B9C" w14:textId="77777777" w:rsidR="00A6311E" w:rsidRDefault="00B12F3E">
      <w:r>
        <w:t>Feature importance was examined for Random Forest models. For the Google Trends-only Random Forest model, rolling and lagged trend features were among the most important inputs. This suggests that not only the level of search interest, but also recent changes and short-term patterns in attention, are relevant to the model.</w:t>
      </w:r>
    </w:p>
    <w:tbl>
      <w:tblPr>
        <w:tblStyle w:val="TabloKlavuzu"/>
        <w:tblW w:w="0" w:type="auto"/>
        <w:jc w:val="center"/>
        <w:tblLook w:val="04A0" w:firstRow="1" w:lastRow="0" w:firstColumn="1" w:lastColumn="0" w:noHBand="0" w:noVBand="1"/>
      </w:tblPr>
      <w:tblGrid>
        <w:gridCol w:w="4968"/>
        <w:gridCol w:w="4968"/>
      </w:tblGrid>
      <w:tr w:rsidR="00A6311E" w14:paraId="67C03C64" w14:textId="77777777">
        <w:trPr>
          <w:jc w:val="center"/>
        </w:trPr>
        <w:tc>
          <w:tcPr>
            <w:tcW w:w="4968" w:type="dxa"/>
            <w:shd w:val="clear" w:color="auto" w:fill="D9EAF7"/>
          </w:tcPr>
          <w:p w14:paraId="028D91C3" w14:textId="77777777" w:rsidR="00A6311E" w:rsidRDefault="00B12F3E">
            <w:pPr>
              <w:spacing w:after="0"/>
            </w:pPr>
            <w:r>
              <w:rPr>
                <w:b/>
                <w:sz w:val="18"/>
              </w:rPr>
              <w:t>Feature</w:t>
            </w:r>
          </w:p>
        </w:tc>
        <w:tc>
          <w:tcPr>
            <w:tcW w:w="4968" w:type="dxa"/>
            <w:shd w:val="clear" w:color="auto" w:fill="D9EAF7"/>
          </w:tcPr>
          <w:p w14:paraId="0C1DA143" w14:textId="77777777" w:rsidR="00A6311E" w:rsidRDefault="00B12F3E">
            <w:pPr>
              <w:spacing w:after="0"/>
            </w:pPr>
            <w:r>
              <w:rPr>
                <w:b/>
                <w:sz w:val="18"/>
              </w:rPr>
              <w:t>Importance</w:t>
            </w:r>
          </w:p>
        </w:tc>
      </w:tr>
      <w:tr w:rsidR="00A6311E" w14:paraId="470E5930" w14:textId="77777777">
        <w:trPr>
          <w:jc w:val="center"/>
        </w:trPr>
        <w:tc>
          <w:tcPr>
            <w:tcW w:w="4968" w:type="dxa"/>
          </w:tcPr>
          <w:p w14:paraId="54D9A9E0" w14:textId="77777777" w:rsidR="00A6311E" w:rsidRDefault="00B12F3E">
            <w:pPr>
              <w:spacing w:after="0"/>
            </w:pPr>
            <w:r>
              <w:rPr>
                <w:sz w:val="18"/>
              </w:rPr>
              <w:t>trends_rolling_mean_7d</w:t>
            </w:r>
          </w:p>
        </w:tc>
        <w:tc>
          <w:tcPr>
            <w:tcW w:w="4968" w:type="dxa"/>
          </w:tcPr>
          <w:p w14:paraId="3D56D3F6" w14:textId="77777777" w:rsidR="00A6311E" w:rsidRDefault="00B12F3E">
            <w:pPr>
              <w:spacing w:after="0"/>
            </w:pPr>
            <w:r>
              <w:rPr>
                <w:sz w:val="18"/>
              </w:rPr>
              <w:t>0.190</w:t>
            </w:r>
          </w:p>
        </w:tc>
      </w:tr>
      <w:tr w:rsidR="00A6311E" w14:paraId="37C47D0D" w14:textId="77777777">
        <w:trPr>
          <w:jc w:val="center"/>
        </w:trPr>
        <w:tc>
          <w:tcPr>
            <w:tcW w:w="4968" w:type="dxa"/>
          </w:tcPr>
          <w:p w14:paraId="0C805198" w14:textId="77777777" w:rsidR="00A6311E" w:rsidRDefault="00B12F3E">
            <w:pPr>
              <w:spacing w:after="0"/>
            </w:pPr>
            <w:r>
              <w:rPr>
                <w:sz w:val="18"/>
              </w:rPr>
              <w:t>google_trends_score</w:t>
            </w:r>
          </w:p>
        </w:tc>
        <w:tc>
          <w:tcPr>
            <w:tcW w:w="4968" w:type="dxa"/>
          </w:tcPr>
          <w:p w14:paraId="31C6EED0" w14:textId="77777777" w:rsidR="00A6311E" w:rsidRDefault="00B12F3E">
            <w:pPr>
              <w:spacing w:after="0"/>
            </w:pPr>
            <w:r>
              <w:rPr>
                <w:sz w:val="18"/>
              </w:rPr>
              <w:t>0.163</w:t>
            </w:r>
          </w:p>
        </w:tc>
      </w:tr>
      <w:tr w:rsidR="00A6311E" w14:paraId="3FE00113" w14:textId="77777777">
        <w:trPr>
          <w:jc w:val="center"/>
        </w:trPr>
        <w:tc>
          <w:tcPr>
            <w:tcW w:w="4968" w:type="dxa"/>
          </w:tcPr>
          <w:p w14:paraId="07FE2D40" w14:textId="77777777" w:rsidR="00A6311E" w:rsidRDefault="00B12F3E">
            <w:pPr>
              <w:spacing w:after="0"/>
            </w:pPr>
            <w:r>
              <w:rPr>
                <w:sz w:val="18"/>
              </w:rPr>
              <w:t>trends_rolling_std_7d</w:t>
            </w:r>
          </w:p>
        </w:tc>
        <w:tc>
          <w:tcPr>
            <w:tcW w:w="4968" w:type="dxa"/>
          </w:tcPr>
          <w:p w14:paraId="3D1A9557" w14:textId="77777777" w:rsidR="00A6311E" w:rsidRDefault="00B12F3E">
            <w:pPr>
              <w:spacing w:after="0"/>
            </w:pPr>
            <w:r>
              <w:rPr>
                <w:sz w:val="18"/>
              </w:rPr>
              <w:t>0.146</w:t>
            </w:r>
          </w:p>
        </w:tc>
      </w:tr>
      <w:tr w:rsidR="00A6311E" w14:paraId="069248B5" w14:textId="77777777">
        <w:trPr>
          <w:jc w:val="center"/>
        </w:trPr>
        <w:tc>
          <w:tcPr>
            <w:tcW w:w="4968" w:type="dxa"/>
          </w:tcPr>
          <w:p w14:paraId="0F9600E9" w14:textId="77777777" w:rsidR="00A6311E" w:rsidRDefault="00B12F3E">
            <w:pPr>
              <w:spacing w:after="0"/>
            </w:pPr>
            <w:r>
              <w:rPr>
                <w:sz w:val="18"/>
              </w:rPr>
              <w:t>trends_lag_1</w:t>
            </w:r>
          </w:p>
        </w:tc>
        <w:tc>
          <w:tcPr>
            <w:tcW w:w="4968" w:type="dxa"/>
          </w:tcPr>
          <w:p w14:paraId="08AD974E" w14:textId="77777777" w:rsidR="00A6311E" w:rsidRDefault="00B12F3E">
            <w:pPr>
              <w:spacing w:after="0"/>
            </w:pPr>
            <w:r>
              <w:rPr>
                <w:sz w:val="18"/>
              </w:rPr>
              <w:t>0.131</w:t>
            </w:r>
          </w:p>
        </w:tc>
      </w:tr>
      <w:tr w:rsidR="00A6311E" w14:paraId="70E4506D" w14:textId="77777777">
        <w:trPr>
          <w:jc w:val="center"/>
        </w:trPr>
        <w:tc>
          <w:tcPr>
            <w:tcW w:w="4968" w:type="dxa"/>
          </w:tcPr>
          <w:p w14:paraId="34FBF22A" w14:textId="77777777" w:rsidR="00A6311E" w:rsidRDefault="00B12F3E">
            <w:pPr>
              <w:spacing w:after="0"/>
            </w:pPr>
            <w:r>
              <w:rPr>
                <w:sz w:val="18"/>
              </w:rPr>
              <w:t>trends_lag_7</w:t>
            </w:r>
          </w:p>
        </w:tc>
        <w:tc>
          <w:tcPr>
            <w:tcW w:w="4968" w:type="dxa"/>
          </w:tcPr>
          <w:p w14:paraId="408607C1" w14:textId="77777777" w:rsidR="00A6311E" w:rsidRDefault="00B12F3E">
            <w:pPr>
              <w:spacing w:after="0"/>
            </w:pPr>
            <w:r>
              <w:rPr>
                <w:sz w:val="18"/>
              </w:rPr>
              <w:t>0.121</w:t>
            </w:r>
          </w:p>
        </w:tc>
      </w:tr>
    </w:tbl>
    <w:p w14:paraId="01EE5339" w14:textId="77777777" w:rsidR="00A6311E" w:rsidRDefault="00A6311E">
      <w:pPr>
        <w:spacing w:before="160" w:after="80"/>
        <w:jc w:val="center"/>
      </w:pPr>
    </w:p>
    <w:tbl>
      <w:tblPr>
        <w:tblW w:w="0" w:type="auto"/>
        <w:jc w:val="center"/>
        <w:tblLook w:val="04A0" w:firstRow="1" w:lastRow="0" w:firstColumn="1" w:lastColumn="0" w:noHBand="0" w:noVBand="1"/>
      </w:tblPr>
      <w:tblGrid>
        <w:gridCol w:w="10152"/>
      </w:tblGrid>
      <w:tr w:rsidR="00A6311E" w14:paraId="7BEA1ED1" w14:textId="77777777">
        <w:trPr>
          <w:jc w:val="center"/>
        </w:trPr>
        <w:tc>
          <w:tcPr>
            <w:tcW w:w="9936" w:type="dxa"/>
            <w:tcBorders>
              <w:top w:val="single" w:sz="8" w:space="0" w:color="7F7F7F"/>
              <w:left w:val="single" w:sz="8" w:space="0" w:color="7F7F7F"/>
              <w:bottom w:val="single" w:sz="8" w:space="0" w:color="7F7F7F"/>
              <w:right w:val="single" w:sz="8" w:space="0" w:color="7F7F7F"/>
            </w:tcBorders>
            <w:shd w:val="clear" w:color="auto" w:fill="EDEDED"/>
            <w:vAlign w:val="center"/>
          </w:tcPr>
          <w:p w14:paraId="2EFB5B4B" w14:textId="0BA4B229" w:rsidR="00A6311E" w:rsidRDefault="00C231BB">
            <w:pPr>
              <w:jc w:val="center"/>
            </w:pPr>
            <w:r>
              <w:rPr>
                <w:noProof/>
              </w:rPr>
              <w:lastRenderedPageBreak/>
              <w:drawing>
                <wp:inline distT="0" distB="0" distL="0" distR="0" wp14:anchorId="48537A21" wp14:editId="460AAB52">
                  <wp:extent cx="6309360" cy="4206240"/>
                  <wp:effectExtent l="0" t="0" r="0" b="3810"/>
                  <wp:docPr id="773647675"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47675" name="Resim 773647675"/>
                          <pic:cNvPicPr/>
                        </pic:nvPicPr>
                        <pic:blipFill>
                          <a:blip r:embed="rId20"/>
                          <a:stretch>
                            <a:fillRect/>
                          </a:stretch>
                        </pic:blipFill>
                        <pic:spPr>
                          <a:xfrm>
                            <a:off x="0" y="0"/>
                            <a:ext cx="6309360" cy="4206240"/>
                          </a:xfrm>
                          <a:prstGeom prst="rect">
                            <a:avLst/>
                          </a:prstGeom>
                        </pic:spPr>
                      </pic:pic>
                    </a:graphicData>
                  </a:graphic>
                </wp:inline>
              </w:drawing>
            </w:r>
          </w:p>
        </w:tc>
      </w:tr>
    </w:tbl>
    <w:p w14:paraId="5FAD2F36" w14:textId="445536D8" w:rsidR="00A6311E" w:rsidRDefault="00B12F3E">
      <w:pPr>
        <w:pStyle w:val="ResimYazs"/>
        <w:spacing w:after="200"/>
        <w:jc w:val="center"/>
      </w:pPr>
      <w:r>
        <w:t xml:space="preserve">Figure 9. Random Forest </w:t>
      </w:r>
      <w:proofErr w:type="gramStart"/>
      <w:r>
        <w:t>feature</w:t>
      </w:r>
      <w:proofErr w:type="gramEnd"/>
      <w:r>
        <w:t xml:space="preserve"> importance visualization</w:t>
      </w:r>
      <w:r w:rsidR="00BE49A2">
        <w:t>.</w:t>
      </w:r>
    </w:p>
    <w:p w14:paraId="11F90B0E" w14:textId="55395321" w:rsidR="00A6311E" w:rsidRDefault="00600765">
      <w:r>
        <w:t>F</w:t>
      </w:r>
      <w:r w:rsidRPr="00600765">
        <w:t xml:space="preserve">igure </w:t>
      </w:r>
      <w:r>
        <w:t xml:space="preserve">9 </w:t>
      </w:r>
      <w:r w:rsidRPr="00600765">
        <w:t>presents the most important features in the Random Forest model. The results should be interpreted carefully, as feature importance does not prove causality and the overall predictive performance remains limited. However, the output supports the broader finding that attention-related features contain information about market conditions, especially when interpreted together with volatility results.</w:t>
      </w:r>
    </w:p>
    <w:p w14:paraId="1A29C2CC" w14:textId="77777777" w:rsidR="00A6311E" w:rsidRDefault="00B12F3E">
      <w:pPr>
        <w:pStyle w:val="Balk1"/>
      </w:pPr>
      <w:r>
        <w:t>10. Limitations and Future Work</w:t>
      </w:r>
    </w:p>
    <w:p w14:paraId="4F22D41D" w14:textId="77777777" w:rsidR="00A6311E" w:rsidRDefault="00B12F3E">
      <w:r>
        <w:t>This project has several limitations.</w:t>
      </w:r>
    </w:p>
    <w:p w14:paraId="06304BBC" w14:textId="77777777" w:rsidR="00A6311E" w:rsidRDefault="00B12F3E">
      <w:pPr>
        <w:pStyle w:val="ListeMaddemi"/>
      </w:pPr>
      <w:r>
        <w:t>Google Trends measures search attention, not actual investor intent.</w:t>
      </w:r>
    </w:p>
    <w:p w14:paraId="05D60DB1" w14:textId="77777777" w:rsidR="00A6311E" w:rsidRDefault="00B12F3E">
      <w:pPr>
        <w:pStyle w:val="ListeMaddemi"/>
      </w:pPr>
      <w:r>
        <w:t>Google Trends data was weekly and had to be aligned with daily market observations.</w:t>
      </w:r>
    </w:p>
    <w:p w14:paraId="7FD80116" w14:textId="77777777" w:rsidR="00A6311E" w:rsidRDefault="00B12F3E">
      <w:pPr>
        <w:pStyle w:val="ListeMaddemi"/>
      </w:pPr>
      <w:r>
        <w:t>The Fear &amp; Greed Index is a sentiment proxy, not a direct measure of individual investor behavior.</w:t>
      </w:r>
    </w:p>
    <w:p w14:paraId="1CAE9544" w14:textId="77777777" w:rsidR="00A6311E" w:rsidRDefault="00B12F3E">
      <w:pPr>
        <w:pStyle w:val="ListeMaddemi"/>
      </w:pPr>
      <w:r>
        <w:t>The models do not directly incorporate event-level news shocks, regulatory announcements, or macroeconomic surprises.</w:t>
      </w:r>
    </w:p>
    <w:p w14:paraId="70A1174F" w14:textId="77777777" w:rsidR="00A6311E" w:rsidRDefault="00B12F3E">
      <w:pPr>
        <w:pStyle w:val="ListeMaddemi"/>
      </w:pPr>
      <w:r>
        <w:t>The machine learning models are relatively simple and do not fully capture time-series dynamics.</w:t>
      </w:r>
    </w:p>
    <w:p w14:paraId="6F082815" w14:textId="77777777" w:rsidR="00A6311E" w:rsidRDefault="00B12F3E">
      <w:r>
        <w:t>Future work could extend the project by:</w:t>
      </w:r>
    </w:p>
    <w:p w14:paraId="26F6AD89" w14:textId="77777777" w:rsidR="00A6311E" w:rsidRDefault="00B12F3E">
      <w:pPr>
        <w:pStyle w:val="ListeMaddemi"/>
      </w:pPr>
      <w:r>
        <w:t>adding stable news-intensity features from a reliable archived news dataset or API,</w:t>
      </w:r>
    </w:p>
    <w:p w14:paraId="606C16A4" w14:textId="77777777" w:rsidR="00A6311E" w:rsidRDefault="00B12F3E">
      <w:pPr>
        <w:pStyle w:val="ListeMaddemi"/>
      </w:pPr>
      <w:r>
        <w:t>applying time-series cross-validation or walk-forward validation,</w:t>
      </w:r>
    </w:p>
    <w:p w14:paraId="2DAD826C" w14:textId="77777777" w:rsidR="00A6311E" w:rsidRDefault="00B12F3E">
      <w:pPr>
        <w:pStyle w:val="ListeMaddemi"/>
      </w:pPr>
      <w:r>
        <w:t>building a separate volatility prediction model,</w:t>
      </w:r>
    </w:p>
    <w:p w14:paraId="747131D6" w14:textId="77777777" w:rsidR="00A6311E" w:rsidRDefault="00B12F3E">
      <w:pPr>
        <w:pStyle w:val="ListeMaddemi"/>
      </w:pPr>
      <w:r>
        <w:t>comparing Bitcoin with other major cryptocurrencies,</w:t>
      </w:r>
    </w:p>
    <w:p w14:paraId="3591DF52" w14:textId="77777777" w:rsidR="00A6311E" w:rsidRDefault="00B12F3E">
      <w:pPr>
        <w:pStyle w:val="ListeMaddemi"/>
      </w:pPr>
      <w:r>
        <w:t>testing additional time-aware models,</w:t>
      </w:r>
    </w:p>
    <w:p w14:paraId="38311AF1" w14:textId="77777777" w:rsidR="00A6311E" w:rsidRDefault="00B12F3E">
      <w:pPr>
        <w:pStyle w:val="ListeMaddemi"/>
      </w:pPr>
      <w:r>
        <w:lastRenderedPageBreak/>
        <w:t>exploring richer sentiment sources such as news headlines, Reddit posts, or financial social media data.</w:t>
      </w:r>
    </w:p>
    <w:p w14:paraId="4EE35456" w14:textId="77777777" w:rsidR="00A6311E" w:rsidRDefault="00B12F3E">
      <w:pPr>
        <w:pStyle w:val="Balk1"/>
      </w:pPr>
      <w:r>
        <w:t>11. Ethical Considerations</w:t>
      </w:r>
    </w:p>
    <w:p w14:paraId="02273758" w14:textId="77777777" w:rsidR="00A6311E" w:rsidRDefault="00B12F3E">
      <w:r>
        <w:t>All data used in this project is publicly available or obtained through public interfaces. No private personal data was collected. The analysis uses aggregated search interest and market-level indicators. The results should not be interpreted as financial advice or as a trading recommendation. Since financial markets are uncertain and influenced by many unobserved factors, the findings should be treated as an academic data science analysis rather than a decision-making tool for investment.</w:t>
      </w:r>
    </w:p>
    <w:p w14:paraId="3582E51D" w14:textId="77777777" w:rsidR="00A6311E" w:rsidRDefault="00B12F3E">
      <w:pPr>
        <w:pStyle w:val="Balk1"/>
      </w:pPr>
      <w:r>
        <w:t>12. Conclusion</w:t>
      </w:r>
    </w:p>
    <w:p w14:paraId="799C6193" w14:textId="77777777" w:rsidR="00A6311E" w:rsidRDefault="00B12F3E">
      <w:r>
        <w:t>This project examined whether public attention and market sentiment indicators improve short-term Bitcoin direction prediction and help explain Bitcoin volatility. The final dataset combined CoinGecko market data, Google Trends public attention data, and Alternative.me Crypto Fear &amp; Greed Index sentiment data.</w:t>
      </w:r>
    </w:p>
    <w:p w14:paraId="7F5845A6" w14:textId="77777777" w:rsidR="00A6311E" w:rsidRDefault="00B12F3E">
      <w:r>
        <w:t>The results show that adding public attention and sentiment features does not create a strong next-day Bitcoin direction predictor. However, the analysis provides useful evidence that Google Trends is more closely associated with volatility and market turbulence than with directional return prediction. Therefore, the main contribution of the project is not a high-performing trading model, but a clearer understanding of how attention and sentiment indicators relate to Bitcoin market behavior.</w:t>
      </w:r>
    </w:p>
    <w:p w14:paraId="7874FE3E" w14:textId="77777777" w:rsidR="00A6311E" w:rsidRDefault="00B12F3E">
      <w:pPr>
        <w:pStyle w:val="Balk1"/>
      </w:pPr>
      <w:r>
        <w:t>13. AI Usage Disclosure</w:t>
      </w:r>
    </w:p>
    <w:p w14:paraId="3B4A83FD" w14:textId="77777777" w:rsidR="00A6311E" w:rsidRDefault="00B12F3E">
      <w:r>
        <w:t>AI tools were used as a support tool for documentation revision, repository organization, debugging assistance, and presentation refinement. AI assistance was also used to help interpret error messages and improve the reproducible pipeline structure. The final processed datasets, statistical test outputs, machine learning outputs, and figures were generated locally by running the project scripts. All project decisions, script execution, result review, interpretation, and final submission responsibility rema</w:t>
      </w:r>
      <w:r>
        <w:t>ined with the student.</w:t>
      </w:r>
    </w:p>
    <w:p w14:paraId="34B6574E" w14:textId="77777777" w:rsidR="00A6311E" w:rsidRDefault="00B12F3E">
      <w:pPr>
        <w:pStyle w:val="Balk1"/>
      </w:pPr>
      <w:r>
        <w:t>14. References</w:t>
      </w:r>
    </w:p>
    <w:p w14:paraId="52400F5F" w14:textId="77777777" w:rsidR="00A6311E" w:rsidRDefault="00B12F3E">
      <w:pPr>
        <w:pStyle w:val="ListeMaddemi"/>
      </w:pPr>
      <w:r>
        <w:t xml:space="preserve">CoinGecko. Bitcoin historical market data. </w:t>
      </w:r>
      <w:hyperlink r:id="rId21">
        <w:r w:rsidR="00A6311E">
          <w:rPr>
            <w:color w:val="0563C1"/>
            <w:u w:val="single"/>
          </w:rPr>
          <w:t>https://www.coingecko.com/en/coins/bitcoin/historical_data</w:t>
        </w:r>
      </w:hyperlink>
    </w:p>
    <w:p w14:paraId="7E9A86A6" w14:textId="77777777" w:rsidR="00A6311E" w:rsidRDefault="00B12F3E">
      <w:pPr>
        <w:pStyle w:val="ListeMaddemi"/>
      </w:pPr>
      <w:r>
        <w:t xml:space="preserve">Google Trends. Search interest data for the keyword “Bitcoin”. </w:t>
      </w:r>
      <w:hyperlink r:id="rId22">
        <w:r w:rsidR="00A6311E">
          <w:rPr>
            <w:color w:val="0563C1"/>
            <w:u w:val="single"/>
          </w:rPr>
          <w:t>https://trends.google.com/</w:t>
        </w:r>
      </w:hyperlink>
    </w:p>
    <w:p w14:paraId="092C9807" w14:textId="77777777" w:rsidR="00A6311E" w:rsidRDefault="00B12F3E">
      <w:pPr>
        <w:pStyle w:val="ListeMaddemi"/>
      </w:pPr>
      <w:r>
        <w:t xml:space="preserve">Alternative.me. Crypto Fear &amp; Greed Index. </w:t>
      </w:r>
      <w:hyperlink r:id="rId23">
        <w:r w:rsidR="00A6311E">
          <w:rPr>
            <w:color w:val="0563C1"/>
            <w:u w:val="single"/>
          </w:rPr>
          <w:t>https://alternative.me/crypto/fear-and-greed-index/</w:t>
        </w:r>
      </w:hyperlink>
    </w:p>
    <w:p w14:paraId="0ED0F2A1" w14:textId="77777777" w:rsidR="00A6311E" w:rsidRDefault="00B12F3E">
      <w:pPr>
        <w:pStyle w:val="ListeMaddemi"/>
      </w:pPr>
      <w:r>
        <w:t xml:space="preserve">Alternative.me Fear &amp; Greed API endpoint used in this project. </w:t>
      </w:r>
      <w:hyperlink r:id="rId24">
        <w:r w:rsidR="00A6311E">
          <w:rPr>
            <w:color w:val="0563C1"/>
            <w:u w:val="single"/>
          </w:rPr>
          <w:t>https://api.alternative.me/fng/?limit=0&amp;format=json</w:t>
        </w:r>
      </w:hyperlink>
    </w:p>
    <w:sectPr w:rsidR="00A6311E" w:rsidSect="00034616">
      <w:headerReference w:type="even" r:id="rId25"/>
      <w:headerReference w:type="default" r:id="rId26"/>
      <w:footerReference w:type="even" r:id="rId27"/>
      <w:footerReference w:type="default" r:id="rId28"/>
      <w:headerReference w:type="first" r:id="rId29"/>
      <w:footerReference w:type="first" r:id="rId30"/>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32286" w14:textId="77777777" w:rsidR="00B12F3E" w:rsidRDefault="00B12F3E">
      <w:pPr>
        <w:spacing w:after="0" w:line="240" w:lineRule="auto"/>
      </w:pPr>
      <w:r>
        <w:separator/>
      </w:r>
    </w:p>
  </w:endnote>
  <w:endnote w:type="continuationSeparator" w:id="0">
    <w:p w14:paraId="3AD2AE20" w14:textId="77777777" w:rsidR="00B12F3E" w:rsidRDefault="00B12F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C4F34" w14:textId="77777777" w:rsidR="0050079C" w:rsidRDefault="0050079C">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39314" w14:textId="6F8483B5" w:rsidR="00A6311E" w:rsidRDefault="00A6311E">
    <w:pPr>
      <w:pStyle w:val="AltBilgi"/>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2F520" w14:textId="77777777" w:rsidR="0050079C" w:rsidRDefault="0050079C">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4E4F3" w14:textId="77777777" w:rsidR="00B12F3E" w:rsidRDefault="00B12F3E">
      <w:pPr>
        <w:spacing w:after="0" w:line="240" w:lineRule="auto"/>
      </w:pPr>
      <w:r>
        <w:separator/>
      </w:r>
    </w:p>
  </w:footnote>
  <w:footnote w:type="continuationSeparator" w:id="0">
    <w:p w14:paraId="135CDE0B" w14:textId="77777777" w:rsidR="00B12F3E" w:rsidRDefault="00B12F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C6853" w14:textId="77777777" w:rsidR="0050079C" w:rsidRDefault="0050079C">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89BD2" w14:textId="77777777" w:rsidR="0050079C" w:rsidRDefault="0050079C">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C547E" w14:textId="77777777" w:rsidR="0050079C" w:rsidRDefault="0050079C">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825394346">
    <w:abstractNumId w:val="8"/>
  </w:num>
  <w:num w:numId="2" w16cid:durableId="1545479824">
    <w:abstractNumId w:val="6"/>
  </w:num>
  <w:num w:numId="3" w16cid:durableId="1897810870">
    <w:abstractNumId w:val="5"/>
  </w:num>
  <w:num w:numId="4" w16cid:durableId="1638560605">
    <w:abstractNumId w:val="4"/>
  </w:num>
  <w:num w:numId="5" w16cid:durableId="2001076402">
    <w:abstractNumId w:val="7"/>
  </w:num>
  <w:num w:numId="6" w16cid:durableId="1795715154">
    <w:abstractNumId w:val="3"/>
  </w:num>
  <w:num w:numId="7" w16cid:durableId="1836990191">
    <w:abstractNumId w:val="2"/>
  </w:num>
  <w:num w:numId="8" w16cid:durableId="1455950400">
    <w:abstractNumId w:val="1"/>
  </w:num>
  <w:num w:numId="9" w16cid:durableId="1754862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C7C"/>
    <w:rsid w:val="0006063C"/>
    <w:rsid w:val="0015074B"/>
    <w:rsid w:val="001A0DF8"/>
    <w:rsid w:val="00246C32"/>
    <w:rsid w:val="0029639D"/>
    <w:rsid w:val="00326F90"/>
    <w:rsid w:val="003F48FC"/>
    <w:rsid w:val="003F5827"/>
    <w:rsid w:val="0041730B"/>
    <w:rsid w:val="00492134"/>
    <w:rsid w:val="004B6DB5"/>
    <w:rsid w:val="0050079C"/>
    <w:rsid w:val="00600765"/>
    <w:rsid w:val="0060470E"/>
    <w:rsid w:val="00621721"/>
    <w:rsid w:val="006B7860"/>
    <w:rsid w:val="0085271A"/>
    <w:rsid w:val="0086589E"/>
    <w:rsid w:val="008A6C82"/>
    <w:rsid w:val="009779EC"/>
    <w:rsid w:val="00A541B8"/>
    <w:rsid w:val="00A6311E"/>
    <w:rsid w:val="00A81BBE"/>
    <w:rsid w:val="00AA1D8D"/>
    <w:rsid w:val="00B12F3E"/>
    <w:rsid w:val="00B25246"/>
    <w:rsid w:val="00B47730"/>
    <w:rsid w:val="00BE49A2"/>
    <w:rsid w:val="00C231B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AE5690"/>
  <w14:defaultImageDpi w14:val="300"/>
  <w15:docId w15:val="{80D6E581-09B6-40D4-8D61-B268940FD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eastAsia="Calibri" w:hAnsi="Calibri"/>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unhideWhenUsed/>
    <w:qFormat/>
    <w:rsid w:val="00FC693F"/>
    <w:pPr>
      <w:spacing w:line="240" w:lineRule="auto"/>
    </w:pPr>
    <w:rPr>
      <w:b/>
      <w:bCs/>
      <w:i/>
      <w:color w:val="505050"/>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ingecko.com/en/coins/bitcoin/historical_data"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s://www.coingecko.com/en/coins/bitcoin/historical_data"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i.alternative.me/fng/?limit=0&amp;format=json" TargetMode="External"/><Relationship Id="rId24" Type="http://schemas.openxmlformats.org/officeDocument/2006/relationships/hyperlink" Target="https://api.alternative.me/fng/?limit=0&amp;format=json"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alternative.me/crypto/fear-and-greed-index/" TargetMode="External"/><Relationship Id="rId28" Type="http://schemas.openxmlformats.org/officeDocument/2006/relationships/footer" Target="footer2.xml"/><Relationship Id="rId10" Type="http://schemas.openxmlformats.org/officeDocument/2006/relationships/hyperlink" Target="https://alternative.me/crypto/fear-and-greed-index/" TargetMode="Externa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rends.google.com/" TargetMode="External"/><Relationship Id="rId14" Type="http://schemas.openxmlformats.org/officeDocument/2006/relationships/image" Target="media/image3.png"/><Relationship Id="rId22" Type="http://schemas.openxmlformats.org/officeDocument/2006/relationships/hyperlink" Target="https://trends.google.com/" TargetMode="External"/><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2257</Words>
  <Characters>12865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Kaan Tanıdır (Student)</cp:lastModifiedBy>
  <cp:revision>2</cp:revision>
  <dcterms:created xsi:type="dcterms:W3CDTF">2026-05-26T18:52:00Z</dcterms:created>
  <dcterms:modified xsi:type="dcterms:W3CDTF">2026-05-26T18:52:00Z</dcterms:modified>
  <cp:category/>
</cp:coreProperties>
</file>