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110C19" w14:textId="77777777" w:rsidR="00B351E4" w:rsidRDefault="00B351E4" w:rsidP="00B351E4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1C1C2E"/>
          <w:sz w:val="22"/>
          <w:szCs w:val="22"/>
        </w:rPr>
        <w:t>TallyKhata is a mobile app built primarily for shopkeepers in Bangladesh. Launched in 2020, it is now used by hundreds of thousands of shop owners across the country to manage their business accounts — replacing the long red ledger book (</w:t>
      </w:r>
      <w:proofErr w:type="spellStart"/>
      <w:r>
        <w:rPr>
          <w:rFonts w:ascii="Calibri" w:hAnsi="Calibri" w:cs="Calibri"/>
          <w:color w:val="1C1C2E"/>
          <w:sz w:val="22"/>
          <w:szCs w:val="22"/>
        </w:rPr>
        <w:t>khata</w:t>
      </w:r>
      <w:proofErr w:type="spellEnd"/>
      <w:r>
        <w:rPr>
          <w:rFonts w:ascii="Calibri" w:hAnsi="Calibri" w:cs="Calibri"/>
          <w:color w:val="1C1C2E"/>
          <w:sz w:val="22"/>
          <w:szCs w:val="22"/>
        </w:rPr>
        <w:t>) that shopkeepers traditionally used to track credit sales. With a simple “</w:t>
      </w:r>
      <w:proofErr w:type="spellStart"/>
      <w:r>
        <w:rPr>
          <w:rFonts w:ascii="Calibri" w:hAnsi="Calibri" w:cs="Calibri"/>
          <w:color w:val="1C1C2E"/>
          <w:sz w:val="22"/>
          <w:szCs w:val="22"/>
        </w:rPr>
        <w:t>Pelam</w:t>
      </w:r>
      <w:proofErr w:type="spellEnd"/>
      <w:r>
        <w:rPr>
          <w:rFonts w:ascii="Calibri" w:hAnsi="Calibri" w:cs="Calibri"/>
          <w:color w:val="1C1C2E"/>
          <w:sz w:val="22"/>
          <w:szCs w:val="22"/>
        </w:rPr>
        <w:t>” (received) and “Dilam” (given) interface, entries take just seconds, and all calculations happen automatically.</w:t>
      </w:r>
    </w:p>
    <w:p w14:paraId="2409F3A6" w14:textId="77777777" w:rsidR="00B351E4" w:rsidRDefault="00B351E4" w:rsidP="00B351E4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1C1C2E"/>
          <w:sz w:val="22"/>
          <w:szCs w:val="22"/>
        </w:rPr>
        <w:t>The app now has close to one million monthly active users, and in December 2024, TallyKhata introduced a premium tier — TallyKhata Gold — for businesses with higher transaction volumes or multiple shops to manage. Gold already has more than 100,000 paying users.</w:t>
      </w:r>
    </w:p>
    <w:p w14:paraId="2CD4F59B" w14:textId="77777777" w:rsidR="00B351E4" w:rsidRDefault="00B351E4" w:rsidP="00B351E4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1C1C2E"/>
          <w:sz w:val="22"/>
          <w:szCs w:val="22"/>
        </w:rPr>
        <w:t>Beyond bookkeeping, TallyKhata is the foundation for a broader small-business platform. Built into the app is TallyPay, a Bangladesh Bank-licensed digital wallet and payment service; TallyPay Bangla QR, the country’s first Bangla QR payment product; and TallyPay Enterprise Solution, a full collection-and-payout system for larger corporate clients. Together, these products give businesses of every size everything needed to run digitally — bookkeeping, payments, and acceptance — in one place. This paper looks at each of them in turn.</w:t>
      </w:r>
    </w:p>
    <w:p w14:paraId="5896A4FE" w14:textId="77777777" w:rsidR="00B351E4" w:rsidRDefault="00B351E4">
      <w: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2"/>
        <w:gridCol w:w="1681"/>
        <w:gridCol w:w="1386"/>
      </w:tblGrid>
      <w:tr w:rsidR="00B351E4" w:rsidRPr="00B351E4" w14:paraId="5CBF37D3" w14:textId="77777777" w:rsidTr="00B351E4">
        <w:tc>
          <w:tcPr>
            <w:tcW w:w="0" w:type="auto"/>
            <w:tcBorders>
              <w:top w:val="single" w:sz="4" w:space="0" w:color="E2E4EA"/>
              <w:left w:val="single" w:sz="4" w:space="0" w:color="E2E4EA"/>
              <w:bottom w:val="single" w:sz="4" w:space="0" w:color="E2E4EA"/>
              <w:right w:val="single" w:sz="4" w:space="0" w:color="E2E4EA"/>
            </w:tcBorders>
            <w:shd w:val="clear" w:color="auto" w:fill="F5F6F8"/>
            <w:tcMar>
              <w:top w:w="160" w:type="dxa"/>
              <w:left w:w="120" w:type="dxa"/>
              <w:bottom w:w="160" w:type="dxa"/>
              <w:right w:w="120" w:type="dxa"/>
            </w:tcMar>
            <w:hideMark/>
          </w:tcPr>
          <w:p w14:paraId="2644853C" w14:textId="77777777" w:rsidR="00B351E4" w:rsidRPr="00B351E4" w:rsidRDefault="00B351E4" w:rsidP="00B351E4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1E4">
              <w:rPr>
                <w:rFonts w:ascii="Cambria" w:eastAsia="Times New Roman" w:hAnsi="Cambria" w:cs="Times New Roman"/>
                <w:b/>
                <w:bCs/>
                <w:color w:val="1C1C2E"/>
                <w:sz w:val="26"/>
                <w:szCs w:val="26"/>
              </w:rPr>
              <w:t>9M+</w:t>
            </w:r>
          </w:p>
          <w:p w14:paraId="2DB803EC" w14:textId="77777777" w:rsidR="00B351E4" w:rsidRPr="00B351E4" w:rsidRDefault="00B351E4" w:rsidP="00B351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1E4">
              <w:rPr>
                <w:rFonts w:ascii="Calibri" w:eastAsia="Times New Roman" w:hAnsi="Calibri" w:cs="Calibri"/>
                <w:color w:val="52526B"/>
                <w:sz w:val="17"/>
                <w:szCs w:val="17"/>
              </w:rPr>
              <w:t>App downloads</w:t>
            </w:r>
          </w:p>
        </w:tc>
        <w:tc>
          <w:tcPr>
            <w:tcW w:w="0" w:type="auto"/>
            <w:tcBorders>
              <w:top w:val="single" w:sz="4" w:space="0" w:color="E2E4EA"/>
              <w:left w:val="single" w:sz="4" w:space="0" w:color="E2E4EA"/>
              <w:bottom w:val="single" w:sz="4" w:space="0" w:color="E2E4EA"/>
              <w:right w:val="single" w:sz="4" w:space="0" w:color="E2E4EA"/>
            </w:tcBorders>
            <w:shd w:val="clear" w:color="auto" w:fill="F5F6F8"/>
            <w:tcMar>
              <w:top w:w="160" w:type="dxa"/>
              <w:left w:w="120" w:type="dxa"/>
              <w:bottom w:w="160" w:type="dxa"/>
              <w:right w:w="120" w:type="dxa"/>
            </w:tcMar>
            <w:hideMark/>
          </w:tcPr>
          <w:p w14:paraId="077B4643" w14:textId="77777777" w:rsidR="00B351E4" w:rsidRPr="00B351E4" w:rsidRDefault="00B351E4" w:rsidP="00B351E4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1E4">
              <w:rPr>
                <w:rFonts w:ascii="Cambria" w:eastAsia="Times New Roman" w:hAnsi="Cambria" w:cs="Times New Roman"/>
                <w:b/>
                <w:bCs/>
                <w:color w:val="1C1C2E"/>
                <w:sz w:val="26"/>
                <w:szCs w:val="26"/>
              </w:rPr>
              <w:t>1M</w:t>
            </w:r>
          </w:p>
          <w:p w14:paraId="1F431D6F" w14:textId="77777777" w:rsidR="00B351E4" w:rsidRPr="00B351E4" w:rsidRDefault="00B351E4" w:rsidP="00B351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1E4">
              <w:rPr>
                <w:rFonts w:ascii="Calibri" w:eastAsia="Times New Roman" w:hAnsi="Calibri" w:cs="Calibri"/>
                <w:color w:val="52526B"/>
                <w:sz w:val="17"/>
                <w:szCs w:val="17"/>
              </w:rPr>
              <w:t>Monthly active users</w:t>
            </w:r>
          </w:p>
        </w:tc>
        <w:tc>
          <w:tcPr>
            <w:tcW w:w="0" w:type="auto"/>
            <w:tcBorders>
              <w:top w:val="single" w:sz="4" w:space="0" w:color="E2E4EA"/>
              <w:left w:val="single" w:sz="4" w:space="0" w:color="E2E4EA"/>
              <w:bottom w:val="single" w:sz="4" w:space="0" w:color="E2E4EA"/>
              <w:right w:val="single" w:sz="4" w:space="0" w:color="E2E4EA"/>
            </w:tcBorders>
            <w:shd w:val="clear" w:color="auto" w:fill="F5F6F8"/>
            <w:tcMar>
              <w:top w:w="160" w:type="dxa"/>
              <w:left w:w="120" w:type="dxa"/>
              <w:bottom w:w="160" w:type="dxa"/>
              <w:right w:w="120" w:type="dxa"/>
            </w:tcMar>
            <w:hideMark/>
          </w:tcPr>
          <w:p w14:paraId="6CCCDB6D" w14:textId="77777777" w:rsidR="00B351E4" w:rsidRPr="00B351E4" w:rsidRDefault="00B351E4" w:rsidP="00B351E4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1E4">
              <w:rPr>
                <w:rFonts w:ascii="Cambria" w:eastAsia="Times New Roman" w:hAnsi="Cambria" w:cs="Times New Roman"/>
                <w:b/>
                <w:bCs/>
                <w:color w:val="1C1C2E"/>
                <w:sz w:val="26"/>
                <w:szCs w:val="26"/>
              </w:rPr>
              <w:t>112K+</w:t>
            </w:r>
          </w:p>
          <w:p w14:paraId="0A0AD5F8" w14:textId="77777777" w:rsidR="00B351E4" w:rsidRPr="00B351E4" w:rsidRDefault="00B351E4" w:rsidP="00B351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1E4">
              <w:rPr>
                <w:rFonts w:ascii="Calibri" w:eastAsia="Times New Roman" w:hAnsi="Calibri" w:cs="Calibri"/>
                <w:color w:val="52526B"/>
                <w:sz w:val="17"/>
                <w:szCs w:val="17"/>
              </w:rPr>
              <w:t>Gold subscribers</w:t>
            </w:r>
          </w:p>
        </w:tc>
      </w:tr>
    </w:tbl>
    <w:p w14:paraId="60B35E3E" w14:textId="77777777" w:rsidR="00B351E4" w:rsidRDefault="00B351E4">
      <w: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7"/>
        <w:gridCol w:w="1605"/>
        <w:gridCol w:w="3380"/>
      </w:tblGrid>
      <w:tr w:rsidR="00B351E4" w:rsidRPr="00B351E4" w14:paraId="2D12AA7C" w14:textId="77777777" w:rsidTr="00B351E4">
        <w:tc>
          <w:tcPr>
            <w:tcW w:w="0" w:type="auto"/>
            <w:tcBorders>
              <w:top w:val="single" w:sz="4" w:space="0" w:color="E2E4EA"/>
              <w:left w:val="single" w:sz="4" w:space="0" w:color="E2E4EA"/>
              <w:bottom w:val="single" w:sz="4" w:space="0" w:color="E2E4EA"/>
              <w:right w:val="single" w:sz="4" w:space="0" w:color="E2E4EA"/>
            </w:tcBorders>
            <w:shd w:val="clear" w:color="auto" w:fill="F5F6F8"/>
            <w:tcMar>
              <w:top w:w="160" w:type="dxa"/>
              <w:left w:w="120" w:type="dxa"/>
              <w:bottom w:w="160" w:type="dxa"/>
              <w:right w:w="120" w:type="dxa"/>
            </w:tcMar>
            <w:hideMark/>
          </w:tcPr>
          <w:p w14:paraId="5C336B2E" w14:textId="77777777" w:rsidR="00B351E4" w:rsidRPr="00B351E4" w:rsidRDefault="00B351E4" w:rsidP="00B351E4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1E4">
              <w:rPr>
                <w:rFonts w:ascii="Cambria" w:eastAsia="Times New Roman" w:hAnsi="Cambria" w:cs="Times New Roman"/>
                <w:b/>
                <w:bCs/>
                <w:color w:val="1C1C2E"/>
                <w:sz w:val="26"/>
                <w:szCs w:val="26"/>
              </w:rPr>
              <w:t>450K+</w:t>
            </w:r>
          </w:p>
          <w:p w14:paraId="3BA3AAD0" w14:textId="77777777" w:rsidR="00B351E4" w:rsidRPr="00B351E4" w:rsidRDefault="00B351E4" w:rsidP="00B351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1E4">
              <w:rPr>
                <w:rFonts w:ascii="Calibri" w:eastAsia="Times New Roman" w:hAnsi="Calibri" w:cs="Calibri"/>
                <w:color w:val="52526B"/>
                <w:sz w:val="17"/>
                <w:szCs w:val="17"/>
              </w:rPr>
              <w:t>TallyPay digital wallets</w:t>
            </w:r>
          </w:p>
        </w:tc>
        <w:tc>
          <w:tcPr>
            <w:tcW w:w="0" w:type="auto"/>
            <w:tcBorders>
              <w:top w:val="single" w:sz="4" w:space="0" w:color="E2E4EA"/>
              <w:left w:val="single" w:sz="4" w:space="0" w:color="E2E4EA"/>
              <w:bottom w:val="single" w:sz="4" w:space="0" w:color="E2E4EA"/>
              <w:right w:val="single" w:sz="4" w:space="0" w:color="E2E4EA"/>
            </w:tcBorders>
            <w:shd w:val="clear" w:color="auto" w:fill="F5F6F8"/>
            <w:tcMar>
              <w:top w:w="160" w:type="dxa"/>
              <w:left w:w="120" w:type="dxa"/>
              <w:bottom w:w="160" w:type="dxa"/>
              <w:right w:w="120" w:type="dxa"/>
            </w:tcMar>
            <w:hideMark/>
          </w:tcPr>
          <w:p w14:paraId="0D55BF45" w14:textId="77777777" w:rsidR="00B351E4" w:rsidRDefault="00B351E4" w:rsidP="00B351E4">
            <w:pPr>
              <w:pStyle w:val="NormalWeb"/>
              <w:spacing w:before="0" w:beforeAutospacing="0" w:after="40" w:afterAutospacing="0"/>
              <w:jc w:val="center"/>
            </w:pPr>
            <w:r>
              <w:rPr>
                <w:rFonts w:ascii="Cambria" w:hAnsi="Cambria"/>
                <w:b/>
                <w:bCs/>
                <w:color w:val="1C1C2E"/>
                <w:sz w:val="26"/>
                <w:szCs w:val="26"/>
              </w:rPr>
              <w:t>200K+</w:t>
            </w:r>
          </w:p>
          <w:p w14:paraId="007E903C" w14:textId="25D73130" w:rsidR="00B351E4" w:rsidRPr="00B351E4" w:rsidRDefault="00B351E4" w:rsidP="00B351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52526B"/>
                <w:sz w:val="17"/>
                <w:szCs w:val="17"/>
              </w:rPr>
              <w:t>Bangla QR accounts</w:t>
            </w:r>
          </w:p>
        </w:tc>
        <w:tc>
          <w:tcPr>
            <w:tcW w:w="0" w:type="auto"/>
            <w:tcBorders>
              <w:top w:val="single" w:sz="4" w:space="0" w:color="E2E4EA"/>
              <w:left w:val="single" w:sz="4" w:space="0" w:color="E2E4EA"/>
              <w:bottom w:val="single" w:sz="4" w:space="0" w:color="E2E4EA"/>
              <w:right w:val="single" w:sz="4" w:space="0" w:color="E2E4EA"/>
            </w:tcBorders>
            <w:shd w:val="clear" w:color="auto" w:fill="F5F6F8"/>
            <w:tcMar>
              <w:top w:w="160" w:type="dxa"/>
              <w:left w:w="120" w:type="dxa"/>
              <w:bottom w:w="160" w:type="dxa"/>
              <w:right w:w="120" w:type="dxa"/>
            </w:tcMar>
            <w:hideMark/>
          </w:tcPr>
          <w:p w14:paraId="126FEB3F" w14:textId="77777777" w:rsidR="00B351E4" w:rsidRPr="00B351E4" w:rsidRDefault="00B351E4" w:rsidP="00B351E4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1E4">
              <w:rPr>
                <w:rFonts w:ascii="Cambria" w:eastAsia="Times New Roman" w:hAnsi="Cambria" w:cs="Times New Roman"/>
                <w:b/>
                <w:bCs/>
                <w:color w:val="1C1C2E"/>
                <w:sz w:val="26"/>
                <w:szCs w:val="26"/>
              </w:rPr>
              <w:t>Enterprise</w:t>
            </w:r>
          </w:p>
          <w:p w14:paraId="6AA0921F" w14:textId="77777777" w:rsidR="00B351E4" w:rsidRPr="00B351E4" w:rsidRDefault="00B351E4" w:rsidP="00B351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1E4">
              <w:rPr>
                <w:rFonts w:ascii="Calibri" w:eastAsia="Times New Roman" w:hAnsi="Calibri" w:cs="Calibri"/>
                <w:color w:val="52526B"/>
                <w:sz w:val="17"/>
                <w:szCs w:val="17"/>
              </w:rPr>
              <w:t>Solution for large and multi-outlet businesses</w:t>
            </w:r>
          </w:p>
        </w:tc>
      </w:tr>
    </w:tbl>
    <w:p w14:paraId="44375AE1" w14:textId="4ECE7034" w:rsidR="00A930F5" w:rsidRDefault="00A930F5"/>
    <w:sectPr w:rsidR="00A930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1E4"/>
    <w:rsid w:val="00A930F5"/>
    <w:rsid w:val="00B35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F7FEE"/>
  <w15:chartTrackingRefBased/>
  <w15:docId w15:val="{9D437D77-794E-4C4F-BE2C-696E32635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351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989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0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212</Words>
  <Characters>1213</Characters>
  <Application>Microsoft Office Word</Application>
  <DocSecurity>0</DocSecurity>
  <Lines>10</Lines>
  <Paragraphs>2</Paragraphs>
  <ScaleCrop>false</ScaleCrop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Awlad</dc:creator>
  <cp:keywords/>
  <dc:description/>
  <cp:lastModifiedBy>Awlad</cp:lastModifiedBy>
  <cp:revision>1</cp:revision>
  <dcterms:created xsi:type="dcterms:W3CDTF">2026-08-12T12:10:00Z</dcterms:created>
  <dcterms:modified xsi:type="dcterms:W3CDTF">2026-08-12T12:13:00Z</dcterms:modified>
</cp:coreProperties>
</file>