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drawing>
          <wp:inline distT="0" distB="0" distL="0" distR="0">
            <wp:extent cx="1809750" cy="571500"/>
            <wp:effectExtent t="0" r="0" b="0" l="0"/>
            <wp:docPr id="1" name="logo" descr="BetterMati.org logo" title="BetterMati.or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809750" cy="571500"/>
                    </a:xfrm>
                    <a:prstGeom prst="rect">
                      <a:avLst/>
                    </a:prstGeom>
                  </pic:spPr>
                </pic:pic>
              </a:graphicData>
            </a:graphic>
          </wp:inline>
        </w:drawing>
      </w:r>
    </w:p>
    <w:p>
      <w:pPr>
        <w:pStyle w:val="Heading1"/>
      </w:pPr>
      <w:r>
        <w:t xml:space="preserve">Project Brief</w:t>
      </w:r>
    </w:p>
    <w:p>
      <w:pPr>
        <w:pBdr>
          <w:bottom w:val="single" w:color="FFC001" w:sz="18" w:space="6"/>
        </w:pBdr>
        <w:spacing w:after="120"/>
      </w:pPr>
      <w:r>
        <w:rPr>
          <w:i/>
          <w:iCs/>
          <w:color w:val="2B62EE"/>
        </w:rPr>
        <w:t xml:space="preserve">A volunteer community information portal for the City of Mati</w:t>
      </w:r>
    </w:p>
    <w:p>
      <w:pPr>
        <w:pStyle w:val="Heading2"/>
        <w:pBdr>
          <w:left w:val="single" w:color="FFC001" w:sz="24" w:space="6"/>
        </w:pBdr>
        <w:spacing w:after="80" w:before="220"/>
      </w:pPr>
      <w:r>
        <w:t xml:space="preserve">What BetterMati.org is</w:t>
      </w:r>
    </w:p>
    <w:p>
      <w:pPr>
        <w:spacing w:after="120" w:line="264"/>
      </w:pPr>
      <w:r>
        <w:t xml:space="preserve">BetterMati.org is a free, volunteer-run website that gathers the City of Mati's public information and services in one easy-to-use place. A group of Mati-based volunteers builds it. It is open-source, non-commercial and offered at no cost to the City.</w:t>
      </w:r>
    </w:p>
    <w:p>
      <w:pPr>
        <w:spacing w:after="120" w:line="264"/>
      </w:pPr>
      <w:r>
        <w:t xml:space="preserve">It is meant to complement the City's official channels, not replace them. Nothing on the site will be presented as official, and it will not use the City seal or logo without the City's written permission.</w:t>
      </w:r>
    </w:p>
    <w:p>
      <w:pPr>
        <w:pStyle w:val="Heading2"/>
        <w:pBdr>
          <w:left w:val="single" w:color="FFC001" w:sz="24" w:space="6"/>
        </w:pBdr>
        <w:spacing w:after="80" w:before="220"/>
      </w:pPr>
      <w:r>
        <w:t xml:space="preserve">Why we are building it</w:t>
      </w:r>
    </w:p>
    <w:p>
      <w:pPr>
        <w:spacing w:after="120" w:line="264"/>
      </w:pPr>
      <w:r>
        <w:t xml:space="preserve">Residents often struggle to find basic public information: which office handles a request, what to bring, and whom to call. That information is spread across offices, notices and social media posts, and much of it is available only in English.</w:t>
      </w:r>
    </w:p>
    <w:p>
      <w:pPr>
        <w:spacing w:after="120" w:line="264"/>
      </w:pPr>
      <w:r>
        <w:t xml:space="preserve">BetterMati.org puts it in one searchable place, in plain language, readable on a phone and in English, Filipino and Cebuano.</w:t>
      </w:r>
    </w:p>
    <w:p>
      <w:pPr>
        <w:pStyle w:val="Heading2"/>
        <w:pBdr>
          <w:left w:val="single" w:color="FFC001" w:sz="24" w:space="6"/>
        </w:pBdr>
        <w:spacing w:after="80" w:before="220"/>
      </w:pPr>
      <w:r>
        <w:t xml:space="preserve">What the site offers</w:t>
      </w:r>
    </w:p>
    <w:p>
      <w:pPr>
        <w:spacing w:after="80" w:line="264"/>
      </w:pPr>
      <w:r>
        <w:t xml:space="preserve">The live preview at </w:t>
      </w:r>
      <w:r>
        <w:rPr>
          <w:color w:val="2B62EE"/>
          <w:highlight w:val="yellow"/>
        </w:rPr>
        <w:t xml:space="preserve">[preview URL]</w:t>
      </w:r>
      <w:r>
        <w:t xml:space="preserve"> has 54 pages across the sections below.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C9D6F5" w:sz="4"/>
              <w:left w:val="single" w:color="C9D6F5" w:sz="4"/>
              <w:bottom w:val="single" w:color="C9D6F5" w:sz="4"/>
              <w:right w:val="single" w:color="C9D6F5" w:sz="4"/>
            </w:tcBorders>
            <w:shd w:fill="123C7A" w:color="auto" w:val="clear"/>
            <w:tcMar>
              <w:top w:type="dxa" w:w="50"/>
              <w:left w:type="dxa" w:w="100"/>
              <w:bottom w:type="dxa" w:w="50"/>
              <w:right w:type="dxa" w:w="100"/>
            </w:tcMar>
          </w:tcPr>
          <w:p>
            <w:r>
              <w:rPr>
                <w:b/>
                <w:bCs/>
                <w:color w:val="FFFFFF"/>
                <w:sz w:val="19"/>
                <w:szCs w:val="19"/>
              </w:rPr>
              <w:t xml:space="preserve">Section</w:t>
            </w:r>
          </w:p>
        </w:tc>
        <w:tc>
          <w:tcPr>
            <w:tcW w:type="dxa" w:w="7026"/>
            <w:tcBorders>
              <w:top w:val="single" w:color="C9D6F5" w:sz="4"/>
              <w:left w:val="single" w:color="C9D6F5" w:sz="4"/>
              <w:bottom w:val="single" w:color="C9D6F5" w:sz="4"/>
              <w:right w:val="single" w:color="C9D6F5" w:sz="4"/>
            </w:tcBorders>
            <w:shd w:fill="123C7A" w:color="auto" w:val="clear"/>
            <w:tcMar>
              <w:top w:type="dxa" w:w="50"/>
              <w:left w:type="dxa" w:w="100"/>
              <w:bottom w:type="dxa" w:w="50"/>
              <w:right w:type="dxa" w:w="100"/>
            </w:tcMar>
          </w:tcPr>
          <w:p>
            <w:r>
              <w:rPr>
                <w:b/>
                <w:bCs/>
                <w:color w:val="FFFFFF"/>
                <w:sz w:val="19"/>
                <w:szCs w:val="19"/>
              </w:rPr>
              <w:t xml:space="preserve">What residents find there</w:t>
            </w:r>
          </w:p>
        </w:tc>
      </w:tr>
      <w:tr>
        <w:trPr>
          <w:tblHeader w:val="off"/>
        </w:trPr>
        <w:tc>
          <w:tcPr>
            <w:tcW w:type="dxa" w:w="2000"/>
            <w:tcBorders>
              <w:top w:val="single" w:color="C9D6F5" w:sz="4"/>
              <w:left w:val="single" w:color="C9D6F5" w:sz="4"/>
              <w:bottom w:val="single" w:color="C9D6F5" w:sz="4"/>
              <w:right w:val="single" w:color="C9D6F5" w:sz="4"/>
            </w:tcBorders>
            <w:tcMar>
              <w:top w:type="dxa" w:w="50"/>
              <w:left w:type="dxa" w:w="100"/>
              <w:bottom w:type="dxa" w:w="50"/>
              <w:right w:type="dxa" w:w="100"/>
            </w:tcMar>
          </w:tcPr>
          <w:p>
            <w:r>
              <w:rPr>
                <w:b/>
                <w:bCs/>
                <w:color w:val="123C7A"/>
                <w:sz w:val="19"/>
                <w:szCs w:val="19"/>
              </w:rPr>
              <w:t xml:space="preserve">Services</w:t>
            </w:r>
          </w:p>
        </w:tc>
        <w:tc>
          <w:tcPr>
            <w:tcW w:type="dxa" w:w="7026"/>
            <w:tcBorders>
              <w:top w:val="single" w:color="C9D6F5" w:sz="4"/>
              <w:left w:val="single" w:color="C9D6F5" w:sz="4"/>
              <w:bottom w:val="single" w:color="C9D6F5" w:sz="4"/>
              <w:right w:val="single" w:color="C9D6F5" w:sz="4"/>
            </w:tcBorders>
            <w:tcMar>
              <w:top w:type="dxa" w:w="50"/>
              <w:left w:type="dxa" w:w="100"/>
              <w:bottom w:type="dxa" w:w="50"/>
              <w:right w:type="dxa" w:w="100"/>
            </w:tcMar>
          </w:tcPr>
          <w:p>
            <w:r>
              <w:rPr>
                <w:b w:val="false"/>
                <w:bCs w:val="false"/>
                <w:sz w:val="19"/>
                <w:szCs w:val="19"/>
              </w:rPr>
              <w:t xml:space="preserve">10 service categories (health, certificates, business, taxes, social services and more) and 22 step-by-step guides such as birth certificates and business permits</w:t>
            </w:r>
          </w:p>
        </w:tc>
      </w:tr>
      <w:tr>
        <w:trPr>
          <w:tblHeader w:val="off"/>
        </w:trPr>
        <w:tc>
          <w:tcPr>
            <w:tcW w:type="dxa" w:w="2000"/>
            <w:tcBorders>
              <w:top w:val="single" w:color="C9D6F5" w:sz="4"/>
              <w:left w:val="single" w:color="C9D6F5" w:sz="4"/>
              <w:bottom w:val="single" w:color="C9D6F5" w:sz="4"/>
              <w:right w:val="single" w:color="C9D6F5" w:sz="4"/>
            </w:tcBorders>
            <w:shd w:fill="EEF3FD" w:color="auto" w:val="clear"/>
            <w:tcMar>
              <w:top w:type="dxa" w:w="50"/>
              <w:left w:type="dxa" w:w="100"/>
              <w:bottom w:type="dxa" w:w="50"/>
              <w:right w:type="dxa" w:w="100"/>
            </w:tcMar>
          </w:tcPr>
          <w:p>
            <w:r>
              <w:rPr>
                <w:b/>
                <w:bCs/>
                <w:color w:val="123C7A"/>
                <w:sz w:val="19"/>
                <w:szCs w:val="19"/>
              </w:rPr>
              <w:t xml:space="preserve">Government</w:t>
            </w:r>
          </w:p>
        </w:tc>
        <w:tc>
          <w:tcPr>
            <w:tcW w:type="dxa" w:w="7026"/>
            <w:tcBorders>
              <w:top w:val="single" w:color="C9D6F5" w:sz="4"/>
              <w:left w:val="single" w:color="C9D6F5" w:sz="4"/>
              <w:bottom w:val="single" w:color="C9D6F5" w:sz="4"/>
              <w:right w:val="single" w:color="C9D6F5" w:sz="4"/>
            </w:tcBorders>
            <w:shd w:fill="EEF3FD" w:color="auto" w:val="clear"/>
            <w:tcMar>
              <w:top w:type="dxa" w:w="50"/>
              <w:left w:type="dxa" w:w="100"/>
              <w:bottom w:type="dxa" w:w="50"/>
              <w:right w:type="dxa" w:w="100"/>
            </w:tcMar>
          </w:tcPr>
          <w:p>
            <w:r>
              <w:rPr>
                <w:b w:val="false"/>
                <w:bCs w:val="false"/>
                <w:sz w:val="19"/>
                <w:szCs w:val="19"/>
              </w:rPr>
              <w:t xml:space="preserve">City officials and a barangay directory built from official PSA data</w:t>
            </w:r>
          </w:p>
        </w:tc>
      </w:tr>
      <w:tr>
        <w:trPr>
          <w:tblHeader w:val="off"/>
        </w:trPr>
        <w:tc>
          <w:tcPr>
            <w:tcW w:type="dxa" w:w="2000"/>
            <w:tcBorders>
              <w:top w:val="single" w:color="C9D6F5" w:sz="4"/>
              <w:left w:val="single" w:color="C9D6F5" w:sz="4"/>
              <w:bottom w:val="single" w:color="C9D6F5" w:sz="4"/>
              <w:right w:val="single" w:color="C9D6F5" w:sz="4"/>
            </w:tcBorders>
            <w:tcMar>
              <w:top w:type="dxa" w:w="50"/>
              <w:left w:type="dxa" w:w="100"/>
              <w:bottom w:type="dxa" w:w="50"/>
              <w:right w:type="dxa" w:w="100"/>
            </w:tcMar>
          </w:tcPr>
          <w:p>
            <w:r>
              <w:rPr>
                <w:b/>
                <w:bCs/>
                <w:color w:val="123C7A"/>
                <w:sz w:val="19"/>
                <w:szCs w:val="19"/>
              </w:rPr>
              <w:t xml:space="preserve">Legislative</w:t>
            </w:r>
          </w:p>
        </w:tc>
        <w:tc>
          <w:tcPr>
            <w:tcW w:type="dxa" w:w="7026"/>
            <w:tcBorders>
              <w:top w:val="single" w:color="C9D6F5" w:sz="4"/>
              <w:left w:val="single" w:color="C9D6F5" w:sz="4"/>
              <w:bottom w:val="single" w:color="C9D6F5" w:sz="4"/>
              <w:right w:val="single" w:color="C9D6F5" w:sz="4"/>
            </w:tcBorders>
            <w:tcMar>
              <w:top w:type="dxa" w:w="50"/>
              <w:left w:type="dxa" w:w="100"/>
              <w:bottom w:type="dxa" w:w="50"/>
              <w:right w:type="dxa" w:w="100"/>
            </w:tcMar>
          </w:tcPr>
          <w:p>
            <w:r>
              <w:rPr>
                <w:b w:val="false"/>
                <w:bCs w:val="false"/>
                <w:sz w:val="19"/>
                <w:szCs w:val="19"/>
              </w:rPr>
              <w:t xml:space="preserve">How ordinances and resolutions are made, with a list of enacted measures</w:t>
            </w:r>
          </w:p>
        </w:tc>
      </w:tr>
      <w:tr>
        <w:trPr>
          <w:tblHeader w:val="off"/>
        </w:trPr>
        <w:tc>
          <w:tcPr>
            <w:tcW w:type="dxa" w:w="2000"/>
            <w:tcBorders>
              <w:top w:val="single" w:color="C9D6F5" w:sz="4"/>
              <w:left w:val="single" w:color="C9D6F5" w:sz="4"/>
              <w:bottom w:val="single" w:color="C9D6F5" w:sz="4"/>
              <w:right w:val="single" w:color="C9D6F5" w:sz="4"/>
            </w:tcBorders>
            <w:shd w:fill="EEF3FD" w:color="auto" w:val="clear"/>
            <w:tcMar>
              <w:top w:type="dxa" w:w="50"/>
              <w:left w:type="dxa" w:w="100"/>
              <w:bottom w:type="dxa" w:w="50"/>
              <w:right w:type="dxa" w:w="100"/>
            </w:tcMar>
          </w:tcPr>
          <w:p>
            <w:r>
              <w:rPr>
                <w:b/>
                <w:bCs/>
                <w:color w:val="123C7A"/>
                <w:sz w:val="19"/>
                <w:szCs w:val="19"/>
              </w:rPr>
              <w:t xml:space="preserve">Transparency</w:t>
            </w:r>
          </w:p>
        </w:tc>
        <w:tc>
          <w:tcPr>
            <w:tcW w:type="dxa" w:w="7026"/>
            <w:tcBorders>
              <w:top w:val="single" w:color="C9D6F5" w:sz="4"/>
              <w:left w:val="single" w:color="C9D6F5" w:sz="4"/>
              <w:bottom w:val="single" w:color="C9D6F5" w:sz="4"/>
              <w:right w:val="single" w:color="C9D6F5" w:sz="4"/>
            </w:tcBorders>
            <w:shd w:fill="EEF3FD" w:color="auto" w:val="clear"/>
            <w:tcMar>
              <w:top w:type="dxa" w:w="50"/>
              <w:left w:type="dxa" w:w="100"/>
              <w:bottom w:type="dxa" w:w="50"/>
              <w:right w:type="dxa" w:w="100"/>
            </w:tcMar>
          </w:tcPr>
          <w:p>
            <w:r>
              <w:rPr>
                <w:b w:val="false"/>
                <w:bCs w:val="false"/>
                <w:sz w:val="19"/>
                <w:szCs w:val="19"/>
              </w:rPr>
              <w:t xml:space="preserve">Budget and fiscal figures, city statistics and public infrastructure projects</w:t>
            </w:r>
          </w:p>
        </w:tc>
      </w:tr>
      <w:tr>
        <w:trPr>
          <w:tblHeader w:val="off"/>
        </w:trPr>
        <w:tc>
          <w:tcPr>
            <w:tcW w:type="dxa" w:w="2000"/>
            <w:tcBorders>
              <w:top w:val="single" w:color="C9D6F5" w:sz="4"/>
              <w:left w:val="single" w:color="C9D6F5" w:sz="4"/>
              <w:bottom w:val="single" w:color="C9D6F5" w:sz="4"/>
              <w:right w:val="single" w:color="C9D6F5" w:sz="4"/>
            </w:tcBorders>
            <w:tcMar>
              <w:top w:type="dxa" w:w="50"/>
              <w:left w:type="dxa" w:w="100"/>
              <w:bottom w:type="dxa" w:w="50"/>
              <w:right w:type="dxa" w:w="100"/>
            </w:tcMar>
          </w:tcPr>
          <w:p>
            <w:r>
              <w:rPr>
                <w:b/>
                <w:bCs/>
                <w:color w:val="123C7A"/>
                <w:sz w:val="19"/>
                <w:szCs w:val="19"/>
              </w:rPr>
              <w:t xml:space="preserve">Emergency hotlines</w:t>
            </w:r>
          </w:p>
        </w:tc>
        <w:tc>
          <w:tcPr>
            <w:tcW w:type="dxa" w:w="7026"/>
            <w:tcBorders>
              <w:top w:val="single" w:color="C9D6F5" w:sz="4"/>
              <w:left w:val="single" w:color="C9D6F5" w:sz="4"/>
              <w:bottom w:val="single" w:color="C9D6F5" w:sz="4"/>
              <w:right w:val="single" w:color="C9D6F5" w:sz="4"/>
            </w:tcBorders>
            <w:tcMar>
              <w:top w:type="dxa" w:w="50"/>
              <w:left w:type="dxa" w:w="100"/>
              <w:bottom w:type="dxa" w:w="50"/>
              <w:right w:type="dxa" w:w="100"/>
            </w:tcMar>
          </w:tcPr>
          <w:p>
            <w:r>
              <w:rPr>
                <w:b w:val="false"/>
                <w:bCs w:val="false"/>
                <w:sz w:val="19"/>
                <w:szCs w:val="19"/>
              </w:rPr>
              <w:t xml:space="preserve">Numbers taken from the City DRRMO's official hotline list, shown on every page</w:t>
            </w:r>
          </w:p>
        </w:tc>
      </w:tr>
      <w:tr>
        <w:trPr>
          <w:tblHeader w:val="off"/>
        </w:trPr>
        <w:tc>
          <w:tcPr>
            <w:tcW w:type="dxa" w:w="2000"/>
            <w:tcBorders>
              <w:top w:val="single" w:color="C9D6F5" w:sz="4"/>
              <w:left w:val="single" w:color="C9D6F5" w:sz="4"/>
              <w:bottom w:val="single" w:color="C9D6F5" w:sz="4"/>
              <w:right w:val="single" w:color="C9D6F5" w:sz="4"/>
            </w:tcBorders>
            <w:shd w:fill="EEF3FD" w:color="auto" w:val="clear"/>
            <w:tcMar>
              <w:top w:type="dxa" w:w="50"/>
              <w:left w:type="dxa" w:w="100"/>
              <w:bottom w:type="dxa" w:w="50"/>
              <w:right w:type="dxa" w:w="100"/>
            </w:tcMar>
          </w:tcPr>
          <w:p>
            <w:r>
              <w:rPr>
                <w:b/>
                <w:bCs/>
                <w:color w:val="123C7A"/>
                <w:sz w:val="19"/>
                <w:szCs w:val="19"/>
              </w:rPr>
              <w:t xml:space="preserve">News</w:t>
            </w:r>
          </w:p>
        </w:tc>
        <w:tc>
          <w:tcPr>
            <w:tcW w:type="dxa" w:w="7026"/>
            <w:tcBorders>
              <w:top w:val="single" w:color="C9D6F5" w:sz="4"/>
              <w:left w:val="single" w:color="C9D6F5" w:sz="4"/>
              <w:bottom w:val="single" w:color="C9D6F5" w:sz="4"/>
              <w:right w:val="single" w:color="C9D6F5" w:sz="4"/>
            </w:tcBorders>
            <w:shd w:fill="EEF3FD" w:color="auto" w:val="clear"/>
            <w:tcMar>
              <w:top w:type="dxa" w:w="50"/>
              <w:left w:type="dxa" w:w="100"/>
              <w:bottom w:type="dxa" w:w="50"/>
              <w:right w:type="dxa" w:w="100"/>
            </w:tcMar>
          </w:tcPr>
          <w:p>
            <w:r>
              <w:rPr>
                <w:b w:val="false"/>
                <w:bCs w:val="false"/>
                <w:sz w:val="19"/>
                <w:szCs w:val="19"/>
              </w:rPr>
              <w:t xml:space="preserve">City announcements, updatable without rebuilding the site</w:t>
            </w:r>
          </w:p>
        </w:tc>
      </w:tr>
      <w:tr>
        <w:trPr>
          <w:tblHeader w:val="off"/>
        </w:trPr>
        <w:tc>
          <w:tcPr>
            <w:tcW w:type="dxa" w:w="2000"/>
            <w:tcBorders>
              <w:top w:val="single" w:color="C9D6F5" w:sz="4"/>
              <w:left w:val="single" w:color="C9D6F5" w:sz="4"/>
              <w:bottom w:val="single" w:color="C9D6F5" w:sz="4"/>
              <w:right w:val="single" w:color="C9D6F5" w:sz="4"/>
            </w:tcBorders>
            <w:tcMar>
              <w:top w:type="dxa" w:w="50"/>
              <w:left w:type="dxa" w:w="100"/>
              <w:bottom w:type="dxa" w:w="50"/>
              <w:right w:type="dxa" w:w="100"/>
            </w:tcMar>
          </w:tcPr>
          <w:p>
            <w:r>
              <w:rPr>
                <w:b/>
                <w:bCs/>
                <w:color w:val="123C7A"/>
                <w:sz w:val="19"/>
                <w:szCs w:val="19"/>
              </w:rPr>
              <w:t xml:space="preserve">Visit Mati</w:t>
            </w:r>
          </w:p>
        </w:tc>
        <w:tc>
          <w:tcPr>
            <w:tcW w:type="dxa" w:w="7026"/>
            <w:tcBorders>
              <w:top w:val="single" w:color="C9D6F5" w:sz="4"/>
              <w:left w:val="single" w:color="C9D6F5" w:sz="4"/>
              <w:bottom w:val="single" w:color="C9D6F5" w:sz="4"/>
              <w:right w:val="single" w:color="C9D6F5" w:sz="4"/>
            </w:tcBorders>
            <w:tcMar>
              <w:top w:type="dxa" w:w="50"/>
              <w:left w:type="dxa" w:w="100"/>
              <w:bottom w:type="dxa" w:w="50"/>
              <w:right w:type="dxa" w:w="100"/>
            </w:tcMar>
          </w:tcPr>
          <w:p>
            <w:r>
              <w:rPr>
                <w:b w:val="false"/>
                <w:bCs w:val="false"/>
                <w:sz w:val="19"/>
                <w:szCs w:val="19"/>
              </w:rPr>
              <w:t xml:space="preserve">Guides to Dahican Beach, Mount Hamiguitan, Pujada Bay, the Sleeping Dinosaur and Subangan Museum</w:t>
            </w:r>
          </w:p>
        </w:tc>
      </w:tr>
      <w:tr>
        <w:trPr>
          <w:tblHeader w:val="off"/>
        </w:trPr>
        <w:tc>
          <w:tcPr>
            <w:tcW w:type="dxa" w:w="2000"/>
            <w:tcBorders>
              <w:top w:val="single" w:color="C9D6F5" w:sz="4"/>
              <w:left w:val="single" w:color="C9D6F5" w:sz="4"/>
              <w:bottom w:val="single" w:color="C9D6F5" w:sz="4"/>
              <w:right w:val="single" w:color="C9D6F5" w:sz="4"/>
            </w:tcBorders>
            <w:shd w:fill="EEF3FD" w:color="auto" w:val="clear"/>
            <w:tcMar>
              <w:top w:type="dxa" w:w="50"/>
              <w:left w:type="dxa" w:w="100"/>
              <w:bottom w:type="dxa" w:w="50"/>
              <w:right w:type="dxa" w:w="100"/>
            </w:tcMar>
          </w:tcPr>
          <w:p>
            <w:r>
              <w:rPr>
                <w:b/>
                <w:bCs/>
                <w:color w:val="123C7A"/>
                <w:sz w:val="19"/>
                <w:szCs w:val="19"/>
              </w:rPr>
              <w:t xml:space="preserve">Help</w:t>
            </w:r>
          </w:p>
        </w:tc>
        <w:tc>
          <w:tcPr>
            <w:tcW w:type="dxa" w:w="7026"/>
            <w:tcBorders>
              <w:top w:val="single" w:color="C9D6F5" w:sz="4"/>
              <w:left w:val="single" w:color="C9D6F5" w:sz="4"/>
              <w:bottom w:val="single" w:color="C9D6F5" w:sz="4"/>
              <w:right w:val="single" w:color="C9D6F5" w:sz="4"/>
            </w:tcBorders>
            <w:shd w:fill="EEF3FD" w:color="auto" w:val="clear"/>
            <w:tcMar>
              <w:top w:type="dxa" w:w="50"/>
              <w:left w:type="dxa" w:w="100"/>
              <w:bottom w:type="dxa" w:w="50"/>
              <w:right w:type="dxa" w:w="100"/>
            </w:tcMar>
          </w:tcPr>
          <w:p>
            <w:r>
              <w:rPr>
                <w:b w:val="false"/>
                <w:bCs w:val="false"/>
                <w:sz w:val="19"/>
                <w:szCs w:val="19"/>
              </w:rPr>
              <w:t xml:space="preserve">FAQ, contact directory, accessibility and privacy pages</w:t>
            </w:r>
          </w:p>
        </w:tc>
      </w:tr>
    </w:tbl>
    <w:p>
      <w:pPr>
        <w:pStyle w:val="Heading2"/>
        <w:pBdr>
          <w:left w:val="single" w:color="FFC001" w:sz="24" w:space="6"/>
        </w:pBdr>
        <w:spacing w:after="80" w:before="220"/>
      </w:pPr>
      <w:r>
        <w:t xml:space="preserve">How it works</w:t>
      </w:r>
    </w:p>
    <w:p>
      <w:pPr>
        <w:pStyle w:val="ListParagraph"/>
        <w:numPr>
          <w:ilvl w:val="0"/>
          <w:numId w:val="2"/>
        </w:numPr>
        <w:spacing w:after="50" w:line="264"/>
      </w:pPr>
      <w:r>
        <w:rPr>
          <w:b/>
          <w:bCs/>
          <w:color w:val="123C7A"/>
        </w:rPr>
        <w:t xml:space="preserve">Simple and low-cost.</w:t>
      </w:r>
      <w:r>
        <w:t xml:space="preserve"> The site is plain web pages on ordinary hosting. It has no database or user accounts to maintain.</w:t>
      </w:r>
    </w:p>
    <w:p>
      <w:pPr>
        <w:pStyle w:val="ListParagraph"/>
        <w:numPr>
          <w:ilvl w:val="0"/>
          <w:numId w:val="2"/>
        </w:numPr>
        <w:spacing w:after="50" w:line="264"/>
      </w:pPr>
      <w:r>
        <w:rPr>
          <w:b/>
          <w:bCs/>
          <w:color w:val="123C7A"/>
        </w:rPr>
        <w:t xml:space="preserve">Works on slow connections.</w:t>
      </w:r>
      <w:r>
        <w:t xml:space="preserve"> Pages load fast on mobile data, and recently visited pages still open offline.</w:t>
      </w:r>
    </w:p>
    <w:p>
      <w:pPr>
        <w:pStyle w:val="ListParagraph"/>
        <w:numPr>
          <w:ilvl w:val="0"/>
          <w:numId w:val="2"/>
        </w:numPr>
        <w:spacing w:after="50" w:line="264"/>
      </w:pPr>
      <w:r>
        <w:rPr>
          <w:b/>
          <w:bCs/>
          <w:color w:val="123C7A"/>
        </w:rPr>
        <w:t xml:space="preserve">Content is easy to check.</w:t>
      </w:r>
      <w:r>
        <w:t xml:space="preserve"> All displayed information lives in simple data files, so a City reviewer can check any figure against official records and have it corrected quickly.</w:t>
      </w:r>
    </w:p>
    <w:p>
      <w:pPr>
        <w:pStyle w:val="ListParagraph"/>
        <w:numPr>
          <w:ilvl w:val="0"/>
          <w:numId w:val="2"/>
        </w:numPr>
        <w:spacing w:after="50" w:line="264"/>
      </w:pPr>
      <w:r>
        <w:rPr>
          <w:b/>
          <w:bCs/>
          <w:color w:val="123C7A"/>
        </w:rPr>
        <w:t xml:space="preserve">Open and reusable.</w:t>
      </w:r>
      <w:r>
        <w:t xml:space="preserve"> The code is public on GitHub under the MIT license. It is adapted from an open-source civic-portal template first built for another LGU, so the City could adopt or reuse it.</w:t>
      </w:r>
    </w:p>
    <w:p>
      <w:pPr>
        <w:pStyle w:val="Heading2"/>
        <w:pBdr>
          <w:left w:val="single" w:color="FFC001" w:sz="24" w:space="6"/>
        </w:pBdr>
        <w:spacing w:after="80" w:before="220"/>
      </w:pPr>
      <w:r>
        <w:t xml:space="preserve">Our commitments</w:t>
      </w:r>
    </w:p>
    <w:p>
      <w:pPr>
        <w:pStyle w:val="ListParagraph"/>
        <w:numPr>
          <w:ilvl w:val="0"/>
          <w:numId w:val="3"/>
        </w:numPr>
        <w:spacing w:after="50" w:line="264"/>
      </w:pPr>
      <w:r>
        <w:rPr>
          <w:b/>
          <w:bCs/>
          <w:color w:val="123C7A"/>
        </w:rPr>
        <w:t xml:space="preserve">Accuracy first.</w:t>
      </w:r>
      <w:r>
        <w:t xml:space="preserve"> Content still awaiting verification is clearly marked as a placeholder and will not be published as fact.</w:t>
      </w:r>
    </w:p>
    <w:p>
      <w:pPr>
        <w:pStyle w:val="ListParagraph"/>
        <w:numPr>
          <w:ilvl w:val="0"/>
          <w:numId w:val="3"/>
        </w:numPr>
        <w:spacing w:after="50" w:line="264"/>
      </w:pPr>
      <w:r>
        <w:rPr>
          <w:b/>
          <w:bCs/>
          <w:color w:val="123C7A"/>
        </w:rPr>
        <w:t xml:space="preserve">No official branding.</w:t>
      </w:r>
      <w:r>
        <w:t xml:space="preserve"> We will not use the City seal or logo, or imply endorsement, without the City's written permission.</w:t>
      </w:r>
    </w:p>
    <w:p>
      <w:pPr>
        <w:pStyle w:val="ListParagraph"/>
        <w:numPr>
          <w:ilvl w:val="0"/>
          <w:numId w:val="3"/>
        </w:numPr>
        <w:spacing w:after="50" w:line="264"/>
      </w:pPr>
      <w:r>
        <w:rPr>
          <w:b/>
          <w:bCs/>
          <w:color w:val="123C7A"/>
        </w:rPr>
        <w:t xml:space="preserve">Clearly unofficial.</w:t>
      </w:r>
      <w:r>
        <w:t xml:space="preserve"> The site will state that it is a volunteer project and link to the City's official channels.</w:t>
      </w:r>
    </w:p>
    <w:p>
      <w:pPr>
        <w:pStyle w:val="ListParagraph"/>
        <w:numPr>
          <w:ilvl w:val="0"/>
          <w:numId w:val="3"/>
        </w:numPr>
        <w:spacing w:after="50" w:line="264"/>
      </w:pPr>
      <w:r>
        <w:rPr>
          <w:b/>
          <w:bCs/>
          <w:color w:val="123C7A"/>
        </w:rPr>
        <w:t xml:space="preserve">Privacy.</w:t>
      </w:r>
      <w:r>
        <w:t xml:space="preserve"> The site has no accounts or sign-up forms and collects no personal information. It uses Google Analytics only for anonymous visit counts, and we will follow the Data Privacy Act of 2012 (RA 10173).</w:t>
      </w:r>
    </w:p>
    <w:p>
      <w:pPr>
        <w:pStyle w:val="ListParagraph"/>
        <w:numPr>
          <w:ilvl w:val="0"/>
          <w:numId w:val="3"/>
        </w:numPr>
        <w:spacing w:after="50" w:line="264"/>
      </w:pPr>
      <w:r>
        <w:rPr>
          <w:b/>
          <w:bCs/>
          <w:color w:val="123C7A"/>
        </w:rPr>
        <w:t xml:space="preserve">Quick corrections.</w:t>
      </w:r>
      <w:r>
        <w:t xml:space="preserve"> Any error the City flags will be fixed promptly, with a named contact for correction requests.</w:t>
      </w:r>
    </w:p>
    <w:p>
      <w:pPr>
        <w:pStyle w:val="Heading2"/>
        <w:pBdr>
          <w:left w:val="single" w:color="FFC001" w:sz="24" w:space="6"/>
        </w:pBdr>
        <w:spacing w:after="80" w:before="220"/>
      </w:pPr>
      <w:r>
        <w:t xml:space="preserve">What we ask of the City</w:t>
      </w:r>
    </w:p>
    <w:p>
      <w:pPr>
        <w:pStyle w:val="ListParagraph"/>
        <w:numPr>
          <w:ilvl w:val="0"/>
          <w:numId w:val="4"/>
        </w:numPr>
        <w:spacing w:after="50" w:line="264"/>
      </w:pPr>
      <w:r>
        <w:rPr>
          <w:b/>
          <w:bCs/>
          <w:color w:val="123C7A"/>
        </w:rPr>
        <w:t xml:space="preserve">A point person or office</w:t>
      </w:r>
      <w:r>
        <w:t xml:space="preserve"> we can coordinate with before and after launch.</w:t>
      </w:r>
    </w:p>
    <w:p>
      <w:pPr>
        <w:pStyle w:val="ListParagraph"/>
        <w:numPr>
          <w:ilvl w:val="0"/>
          <w:numId w:val="4"/>
        </w:numPr>
        <w:spacing w:after="50" w:line="264"/>
      </w:pPr>
      <w:r>
        <w:rPr>
          <w:b/>
          <w:bCs/>
          <w:color w:val="123C7A"/>
        </w:rPr>
        <w:t xml:space="preserve">Verification</w:t>
      </w:r>
      <w:r>
        <w:t xml:space="preserve"> of the public information we plan to show, especially officials, office contacts, service requirements and fees, ordinances, and budget figures.</w:t>
      </w:r>
    </w:p>
    <w:p>
      <w:pPr>
        <w:pStyle w:val="ListParagraph"/>
        <w:numPr>
          <w:ilvl w:val="0"/>
          <w:numId w:val="4"/>
        </w:numPr>
        <w:spacing w:after="50" w:line="264"/>
      </w:pPr>
      <w:r>
        <w:rPr>
          <w:b/>
          <w:bCs/>
          <w:color w:val="123C7A"/>
        </w:rPr>
        <w:t xml:space="preserve">Guidance</w:t>
      </w:r>
      <w:r>
        <w:t xml:space="preserve"> on anything the City would like handled differently before launch.</w:t>
      </w:r>
    </w:p>
    <w:p>
      <w:pPr>
        <w:spacing w:after="120" w:line="264"/>
      </w:pPr>
      <w:r>
        <w:t xml:space="preserve">We are not asking for funding, staff time beyond these reviews, or access to any City system.</w:t>
      </w:r>
    </w:p>
    <w:p>
      <w:pPr>
        <w:pStyle w:val="Heading2"/>
        <w:pBdr>
          <w:left w:val="single" w:color="FFC001" w:sz="24" w:space="6"/>
        </w:pBdr>
        <w:spacing w:after="80" w:before="220"/>
      </w:pPr>
      <w:r>
        <w:t xml:space="preserve">Status and contact</w:t>
      </w:r>
    </w:p>
    <w:p>
      <w:pPr>
        <w:spacing w:after="120" w:line="264"/>
      </w:pPr>
      <w:r>
        <w:t xml:space="preserve">The site is in development and not yet public. We will launch only after the City's point person has reviewed the content.</w:t>
      </w:r>
    </w:p>
    <w:p>
      <w:pPr>
        <w:spacing w:after="0"/>
      </w:pPr>
      <w:r>
        <w:rPr>
          <w:b/>
          <w:bCs/>
          <w:color w:val="123C7A"/>
        </w:rPr>
        <w:t xml:space="preserve">Kaarlo Ruy P. Sasiang</w:t>
      </w:r>
      <w:r>
        <w:t xml:space="preserve">, Software Engineer, BetterMati.org volunteer team</w:t>
      </w:r>
    </w:p>
    <w:p>
      <w:pPr>
        <w:spacing w:after="0"/>
      </w:pPr>
      <w:r>
        <w:t xml:space="preserve">sasiang64@gmail.com  ·  +63 935 578 3731</w:t>
      </w:r>
    </w:p>
    <w:p>
      <w:pPr>
        <w:spacing w:after="0"/>
      </w:pPr>
      <w:r>
        <w:t xml:space="preserve">Live preview: </w:t>
      </w:r>
      <w:r>
        <w:rPr>
          <w:color w:val="2B62EE"/>
          <w:highlight w:val="yellow"/>
        </w:rPr>
        <w:t xml:space="preserve">[preview URL]</w:t>
      </w:r>
    </w:p>
    <w:p>
      <w:r>
        <w:t xml:space="preserve">Source code: </w:t>
      </w:r>
      <w:hyperlink w:history="1" r:id="rIdykzak0onsvy0c936m6vqw">
        <w:r>
          <w:rPr>
            <w:color w:val="2B62EE"/>
            <w:u w:val="single"/>
          </w:rPr>
          <w:t xml:space="preserve">github.com/kaarlosasiang/bettermaticity</w:t>
        </w:r>
      </w:hyperlink>
    </w:p>
    <w:sectPr>
      <w:pgSz w:w="11906" w:h="16838" w:orient="portrait"/>
      <w:pgMar w:top="1080" w:right="1440" w:bottom="108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00"/>
      </w:pPr>
    </w:lvl>
  </w:abstractNum>
  <w:abstractNum w:abstractNumId="3" w15:restartNumberingAfterBreak="0">
    <w:multiLevelType w:val="hybridMultilevel"/>
    <w:lvl w:ilvl="0" w:tentative="1">
      <w:start w:val="1"/>
      <w:numFmt w:val="decimal"/>
      <w:lvlText w:val="%1."/>
      <w:lvlJc w:val="left"/>
      <w:pPr>
        <w:ind w:left="540" w:hanging="300"/>
      </w:pPr>
    </w:lvl>
  </w:abstractNum>
  <w:abstractNum w:abstractNumId="4"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outlineLvl w:val="0"/>
    </w:pPr>
    <w:rPr>
      <w:b/>
      <w:bCs/>
      <w:color w:val="123C7A"/>
      <w:sz w:val="32"/>
      <w:szCs w:val="32"/>
    </w:rPr>
  </w:style>
  <w:style w:type="paragraph" w:styleId="Heading2">
    <w:name w:val="Heading 2"/>
    <w:basedOn w:val="Normal"/>
    <w:next w:val="Normal"/>
    <w:qFormat/>
    <w:pPr>
      <w:outlineLvl w:val="1"/>
    </w:pPr>
    <w:rPr>
      <w:b/>
      <w:bCs/>
      <w:color w:val="123C7A"/>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ykzak0onsvy0c936m6vqw" Type="http://schemas.openxmlformats.org/officeDocument/2006/relationships/hyperlink" Target="https://github.com/kaarlosasiang/bettermaticity" TargetMode="External"/><Relationship Id="rId7" Type="http://schemas.openxmlformats.org/officeDocument/2006/relationships/image" Target="media/d3df4dc38a2fa3e3e8b94396c17d3db5253faa64.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2026-09-30T06:31:09.549Z</dcterms:created>
  <dcterms:modified xsi:type="dcterms:W3CDTF">2026-09-30T06:31:09.557Z</dcterms:modified>
</cp:coreProperties>
</file>

<file path=docProps/custom.xml><?xml version="1.0" encoding="utf-8"?>
<Properties xmlns="http://schemas.openxmlformats.org/officeDocument/2006/custom-properties" xmlns:vt="http://schemas.openxmlformats.org/officeDocument/2006/docPropsVTypes"/>
</file>