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Pipeline de filtrage et analyse des variants NGS — PRELUDE-TSC</w:t>
      </w:r>
    </w:p>
    <w:p>
      <w:pPr>
        <w:pStyle w:val="Subtitle"/>
      </w:pPr>
      <w:r>
        <w:t xml:space="preserve">Documentation technique — vcf_filter.py et outils associés</w:t>
      </w:r>
    </w:p>
    <w:p>
      <w:pPr>
        <w:pStyle w:val="Author"/>
      </w:pPr>
      <w:r>
        <w:t xml:space="preserve">PRELUDE-TSC / CHU Angers</w:t>
      </w:r>
    </w:p>
    <w:p>
      <w:pPr>
        <w:pStyle w:val="Date"/>
      </w:pPr>
      <w:r>
        <w:t xml:space="preserve">Mars 2026</w:t>
      </w:r>
    </w:p>
    <w:bookmarkStart w:id="11" w:name="vue-densemble"/>
    <w:p>
      <w:pPr>
        <w:pStyle w:val="Heading1"/>
      </w:pPr>
      <w:r>
        <w:t xml:space="preserve">1. Vue d’ensemble</w:t>
      </w:r>
    </w:p>
    <w:p>
      <w:pPr>
        <w:pStyle w:val="FirstParagraph"/>
      </w:pPr>
      <w:r>
        <w:t xml:space="preserve">Le pipeline</w:t>
      </w:r>
      <w:r>
        <w:t xml:space="preserve"> </w:t>
      </w:r>
      <w:r>
        <w:rPr>
          <w:rStyle w:val="VerbatimChar"/>
        </w:rPr>
        <w:t xml:space="preserve">07_ngs_reanalysis</w:t>
      </w:r>
      <w:r>
        <w:t xml:space="preserve"> </w:t>
      </w:r>
      <w:r>
        <w:t xml:space="preserve">est un ensemble d’outils Python conçus pour la</w:t>
      </w:r>
      <w:r>
        <w:t xml:space="preserve"> </w:t>
      </w:r>
      <w:r>
        <w:rPr>
          <w:b/>
          <w:bCs/>
        </w:rPr>
        <w:t xml:space="preserve">réanalyse systématique des variants NGS court-read</w:t>
      </w:r>
      <w:r>
        <w:t xml:space="preserve"> </w:t>
      </w:r>
      <w:r>
        <w:t xml:space="preserve">(Illumina) issus du pipeline NiourK v2.5 (KAVE, CHU Angers). Il prend en entrée les fichiers XLSX annotés par NiourK et produit un classeur Excel multi-onglets structuré, prêt pour l’interprétation biologique.</w:t>
      </w:r>
    </w:p>
    <w:p>
      <w:pPr>
        <w:pStyle w:val="BodyText"/>
      </w:pPr>
      <w:r>
        <w:rPr>
          <w:b/>
          <w:bCs/>
        </w:rPr>
        <w:t xml:space="preserve">Contexte clinique</w:t>
      </w:r>
      <w:r>
        <w:t xml:space="preserve"> </w:t>
      </w:r>
      <w:r>
        <w:t xml:space="preserve">: cohorte PRELUDE-TSC — patients atteints de sclérose tubéreuse de Bourneville (STB), gènes cibles TSC1 et TSC2.</w:t>
      </w:r>
    </w:p>
    <w:p>
      <w:pPr>
        <w:pStyle w:val="BodyText"/>
      </w:pPr>
      <w:r>
        <w:rPr>
          <w:b/>
          <w:bCs/>
        </w:rPr>
        <w:t xml:space="preserve">Run courant</w:t>
      </w:r>
      <w:r>
        <w:t xml:space="preserve"> </w:t>
      </w:r>
      <w:r>
        <w:t xml:space="preserve">: TSC_063 — 22 échantillons, Illumina NextSeq 101 bp PE, panel Twist TSC CHU, alignement GRCh38, annotation VEP v106 + SpliceAI + CADD + REVEL + SPiP.</w:t>
      </w:r>
    </w:p>
    <w:bookmarkStart w:id="9" w:name="architecture-des-scripts"/>
    <w:p>
      <w:pPr>
        <w:pStyle w:val="Heading2"/>
      </w:pPr>
      <w:r>
        <w:t xml:space="preserve">Architecture des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vcf_filter.py</w:t>
            </w:r>
          </w:p>
        </w:tc>
        <w:tc>
          <w:tcPr/>
          <w:p>
            <w:pPr>
              <w:pStyle w:val="Compact"/>
            </w:pPr>
            <w:r>
              <w:t xml:space="preserve">Filtrage, classification en onglets, scoring, formatage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igv_capture.py</w:t>
            </w:r>
          </w:p>
        </w:tc>
        <w:tc>
          <w:tcPr/>
          <w:p>
            <w:pPr>
              <w:pStyle w:val="Compact"/>
            </w:pPr>
            <w:r>
              <w:t xml:space="preserve">Capture automatisée de screenshots IGV (3 vues par variant)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igv_bookmark.py</w:t>
            </w:r>
          </w:p>
        </w:tc>
        <w:tc>
          <w:tcPr/>
          <w:p>
            <w:pPr>
              <w:pStyle w:val="Compact"/>
            </w:pPr>
            <w:r>
              <w:t xml:space="preserve">Injection de régions d’intérêt (ROI) dans IGV Desktop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aggregate_annotations.py</w:t>
            </w:r>
          </w:p>
        </w:tc>
        <w:tc>
          <w:tcPr/>
          <w:p>
            <w:pPr>
              <w:pStyle w:val="Compact"/>
            </w:pPr>
            <w:r>
              <w:t xml:space="preserve">Agrégation multi-échantillons des variants annotés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config.yaml</w:t>
            </w:r>
          </w:p>
        </w:tc>
        <w:tc>
          <w:tcPr/>
          <w:p>
            <w:pPr>
              <w:pStyle w:val="Compact"/>
            </w:pPr>
            <w:r>
              <w:t xml:space="preserve">Configuration centralisée (seuils, poids, onglets)</w:t>
            </w:r>
          </w:p>
        </w:tc>
      </w:tr>
    </w:tbl>
    <w:bookmarkEnd w:id="9"/>
    <w:bookmarkStart w:id="10" w:name="flux-de-travail"/>
    <w:p>
      <w:pPr>
        <w:pStyle w:val="Heading2"/>
      </w:pPr>
      <w:r>
        <w:t xml:space="preserve">Flux de travail</w:t>
      </w:r>
    </w:p>
    <w:p>
      <w:pPr>
        <w:pStyle w:val="SourceCode"/>
      </w:pPr>
      <w:r>
        <w:rPr>
          <w:rStyle w:val="VerbatimChar"/>
        </w:rPr>
        <w:t xml:space="preserve">NiourK XLSX (par échantillon)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vcf_filter.py ──→ *_filtered.xlsx (classeur multi-onglets)</w:t>
      </w:r>
      <w:r>
        <w:br/>
      </w:r>
      <w:r>
        <w:rPr>
          <w:rStyle w:val="VerbatimChar"/>
        </w:rPr>
        <w:t xml:space="preserve">    │                    │</w:t>
      </w:r>
      <w:r>
        <w:br/>
      </w:r>
      <w:r>
        <w:rPr>
          <w:rStyle w:val="VerbatimChar"/>
        </w:rPr>
        <w:t xml:space="preserve">    │                    ├──→ igv_bookmark.py ──→ ROI dans IGV Desktop</w:t>
      </w:r>
      <w:r>
        <w:br/>
      </w:r>
      <w:r>
        <w:rPr>
          <w:rStyle w:val="VerbatimChar"/>
        </w:rPr>
        <w:t xml:space="preserve">    │                    │</w:t>
      </w:r>
      <w:r>
        <w:br/>
      </w:r>
      <w:r>
        <w:rPr>
          <w:rStyle w:val="VerbatimChar"/>
        </w:rPr>
        <w:t xml:space="preserve">    │                    └──→ igv_capture.py ──→ Screenshots PNG (3 vues/variant)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aggregate_annotations.py ──→ TSC_063_annotations.xlsx (synthèse multi-échantillons)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vcf_filter.py-filtrage-et-classification"/>
    <w:p>
      <w:pPr>
        <w:pStyle w:val="Heading1"/>
      </w:pPr>
      <w:r>
        <w:t xml:space="preserve">2. vcf_filter.py — Filtrage et classification</w:t>
      </w:r>
    </w:p>
    <w:bookmarkStart w:id="12" w:name="chargement-et-normalisation"/>
    <w:p>
      <w:pPr>
        <w:pStyle w:val="Heading2"/>
      </w:pPr>
      <w:r>
        <w:t xml:space="preserve">2.1. Chargement et normalisation</w:t>
      </w:r>
    </w:p>
    <w:p>
      <w:pPr>
        <w:pStyle w:val="Compact"/>
        <w:numPr>
          <w:ilvl w:val="0"/>
          <w:numId w:val="1001"/>
        </w:numPr>
      </w:pPr>
      <w:r>
        <w:t xml:space="preserve">Lecture de la feuille</w:t>
      </w:r>
      <w:r>
        <w:t xml:space="preserve"> </w:t>
      </w:r>
      <w:r>
        <w:rPr>
          <w:rStyle w:val="VerbatimChar"/>
        </w:rPr>
        <w:t xml:space="preserve">Variants</w:t>
      </w:r>
      <w:r>
        <w:t xml:space="preserve"> </w:t>
      </w:r>
      <w:r>
        <w:t xml:space="preserve">du XLSX NiourK</w:t>
      </w:r>
    </w:p>
    <w:p>
      <w:pPr>
        <w:pStyle w:val="Compact"/>
        <w:numPr>
          <w:ilvl w:val="0"/>
          <w:numId w:val="1001"/>
        </w:numPr>
      </w:pPr>
      <w:r>
        <w:t xml:space="preserve">Suppression automatique du préfixe échantillon NiourK (</w:t>
      </w:r>
      <w:r>
        <w:rPr>
          <w:rStyle w:val="VerbatimChar"/>
        </w:rPr>
        <w:t xml:space="preserve">&lt;sample_id&gt;\n&lt;col_name&gt;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&lt;col_name&gt;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Filtrage par gènes cibles (</w:t>
      </w:r>
      <w:r>
        <w:rPr>
          <w:rStyle w:val="VerbatimChar"/>
        </w:rPr>
        <w:t xml:space="preserve">genes: [TSC1, TSC2]</w:t>
      </w:r>
      <w:r>
        <w:t xml:space="preserve"> </w:t>
      </w:r>
      <w:r>
        <w:t xml:space="preserve">dans le YAML)</w:t>
      </w:r>
    </w:p>
    <w:p>
      <w:pPr>
        <w:pStyle w:val="Compact"/>
        <w:numPr>
          <w:ilvl w:val="0"/>
          <w:numId w:val="1001"/>
        </w:numPr>
      </w:pPr>
      <w:r>
        <w:t xml:space="preserve">Dédoublonnage par transcrit de référence (</w:t>
      </w:r>
      <w:r>
        <w:rPr>
          <w:rStyle w:val="VerbatimChar"/>
        </w:rPr>
        <w:t xml:space="preserve">REF_TRANS = VRAI</w:t>
      </w:r>
      <w:r>
        <w:t xml:space="preserve">) : pour chaque position génomique, seul le transcrit canonique est conservé</w:t>
      </w:r>
    </w:p>
    <w:bookmarkEnd w:id="12"/>
    <w:bookmarkStart w:id="13" w:name="pré-exclusions-séquentielles"/>
    <w:p>
      <w:pPr>
        <w:pStyle w:val="Heading2"/>
      </w:pPr>
      <w:r>
        <w:t xml:space="preserve">2.2. Pré-exclusions séquentielles</w:t>
      </w:r>
    </w:p>
    <w:p>
      <w:pPr>
        <w:pStyle w:val="FirstParagraph"/>
      </w:pPr>
      <w:r>
        <w:t xml:space="preserve">Sept filtres d’exclusion sont appliqués</w:t>
      </w:r>
      <w:r>
        <w:t xml:space="preserve"> </w:t>
      </w:r>
      <w:r>
        <w:rPr>
          <w:b/>
          <w:bCs/>
        </w:rPr>
        <w:t xml:space="preserve">séquentiellement</w:t>
      </w:r>
      <w:r>
        <w:t xml:space="preserve"> </w:t>
      </w:r>
      <w:r>
        <w:t xml:space="preserve">(chaque filtre opère sur les survivants du précédent). Tous les seuils sont configurables dans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667"/>
        <w:gridCol w:w="3751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Filtre</w:t>
            </w:r>
          </w:p>
        </w:tc>
        <w:tc>
          <w:tcPr/>
          <w:p>
            <w:pPr>
              <w:pStyle w:val="Compact"/>
            </w:pPr>
            <w:r>
              <w:t xml:space="preserve">Seuil par défaut</w:t>
            </w:r>
          </w:p>
        </w:tc>
        <w:tc>
          <w:tcPr/>
          <w:p>
            <w:pPr>
              <w:pStyle w:val="Compact"/>
            </w:pPr>
            <w:r>
              <w:t xml:space="preserve">Logique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gnomAD</w:t>
            </w:r>
          </w:p>
        </w:tc>
        <w:tc>
          <w:tcPr/>
          <w:p>
            <w:pPr>
              <w:pStyle w:val="Compact"/>
            </w:pPr>
            <w:r>
              <w:t xml:space="preserve">&gt; 0.5 % (0.005)</w:t>
            </w:r>
          </w:p>
        </w:tc>
        <w:tc>
          <w:tcPr/>
          <w:p>
            <w:pPr>
              <w:pStyle w:val="Compact"/>
            </w:pPr>
            <w:r>
              <w:t xml:space="preserve">Variant trop fréquent en population générale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RNCNT_TOTAL</w:t>
            </w:r>
          </w:p>
        </w:tc>
        <w:tc>
          <w:tcPr/>
          <w:p>
            <w:pPr>
              <w:pStyle w:val="Compact"/>
            </w:pPr>
            <w:r>
              <w:t xml:space="preserve">&gt; 4</w:t>
            </w:r>
          </w:p>
        </w:tc>
        <w:tc>
          <w:tcPr/>
          <w:p>
            <w:pPr>
              <w:pStyle w:val="Compact"/>
            </w:pPr>
            <w:r>
              <w:t xml:space="preserve">Récurrent dans le run courant (22 échantillons)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PJCNT_TOTAL</w:t>
            </w:r>
          </w:p>
        </w:tc>
        <w:tc>
          <w:tcPr/>
          <w:p>
            <w:pPr>
              <w:pStyle w:val="Compact"/>
            </w:pPr>
            <w:r>
              <w:t xml:space="preserve">&gt; 10</w:t>
            </w:r>
          </w:p>
        </w:tc>
        <w:tc>
          <w:tcPr/>
          <w:p>
            <w:pPr>
              <w:pStyle w:val="Compact"/>
            </w:pPr>
            <w:r>
              <w:t xml:space="preserve">Récurrent dans la méta-analyse de 30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RNCNT_HOM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Homozygote récurrent → probable 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ClinVar Benign</w:t>
            </w:r>
          </w:p>
        </w:tc>
        <w:tc>
          <w:tcPr/>
          <w:p>
            <w:pPr>
              <w:pStyle w:val="Compact"/>
            </w:pPr>
            <w:r>
              <w:t xml:space="preserve">Benign/Likely_benign</w:t>
            </w:r>
          </w:p>
        </w:tc>
        <w:tc>
          <w:tcPr/>
          <w:p>
            <w:pPr>
              <w:pStyle w:val="Compact"/>
            </w:pPr>
            <w:r>
              <w:t xml:space="preserve">Classification ClinVar bénigne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Artefact HTZ→mosaïque</w:t>
            </w:r>
          </w:p>
        </w:tc>
        <w:tc>
          <w:tcPr/>
          <w:p>
            <w:pPr>
              <w:pStyle w:val="Compact"/>
            </w:pPr>
            <w:r>
              <w:t xml:space="preserve">Ratio HTZ &gt; 80 %, ≥ 3 HTZ, AF &lt; 35 %</w:t>
            </w:r>
          </w:p>
        </w:tc>
        <w:tc>
          <w:tcPr/>
          <w:p>
            <w:pPr>
              <w:pStyle w:val="Compact"/>
            </w:pPr>
            <w:r>
              <w:t xml:space="preserve">Faux positif mosaïque (hétérozygotes récurrents à basse fréquence)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Artefact mosaïque récurrent</w:t>
            </w:r>
          </w:p>
        </w:tc>
        <w:tc>
          <w:tcPr/>
          <w:p>
            <w:pPr>
              <w:pStyle w:val="Compact"/>
            </w:pPr>
            <w:r>
              <w:t xml:space="preserve">RNCNT_LOW &gt; 5, AF &lt; 35 %</w:t>
            </w:r>
          </w:p>
        </w:tc>
        <w:tc>
          <w:tcPr/>
          <w:p>
            <w:pPr>
              <w:pStyle w:val="Compact"/>
            </w:pPr>
            <w:r>
              <w:t xml:space="preserve">Hotspot de mosaïque artefactuel</w:t>
            </w:r>
          </w:p>
        </w:tc>
      </w:tr>
    </w:tbl>
    <w:p>
      <w:pPr>
        <w:pStyle w:val="BodyText"/>
      </w:pPr>
      <w:r>
        <w:t xml:space="preserve">Un</w:t>
      </w:r>
      <w:r>
        <w:t xml:space="preserve"> </w:t>
      </w:r>
      <w:r>
        <w:rPr>
          <w:b/>
          <w:bCs/>
        </w:rPr>
        <w:t xml:space="preserve">pré-rapport</w:t>
      </w:r>
      <w:r>
        <w:t xml:space="preserve"> </w:t>
      </w:r>
      <w:r>
        <w:t xml:space="preserve">est généré sur la sortie standard et inclus dans la feuille</w:t>
      </w:r>
      <w:r>
        <w:t xml:space="preserve"> </w:t>
      </w:r>
      <w:r>
        <w:rPr>
          <w:rStyle w:val="VerbatimChar"/>
        </w:rPr>
        <w:t xml:space="preserve">_summary</w:t>
      </w:r>
      <w:r>
        <w:t xml:space="preserve"> </w:t>
      </w:r>
      <w:r>
        <w:t xml:space="preserve">du classeur, détaillant le nombre de variants exclus à chaque étape.</w:t>
      </w:r>
    </w:p>
    <w:bookmarkEnd w:id="13"/>
    <w:bookmarkStart w:id="14" w:name="X78bf519602c8bd90974adc5e92316cd7fcb6921"/>
    <w:p>
      <w:pPr>
        <w:pStyle w:val="Heading2"/>
      </w:pPr>
      <w:r>
        <w:t xml:space="preserve">2.3. Classification en onglets (fiche d’analyse STB)</w:t>
      </w:r>
    </w:p>
    <w:p>
      <w:pPr>
        <w:pStyle w:val="FirstParagraph"/>
      </w:pPr>
      <w:r>
        <w:t xml:space="preserve">Les variants survivants sont classés dans</w:t>
      </w:r>
      <w:r>
        <w:t xml:space="preserve"> </w:t>
      </w:r>
      <w:r>
        <w:rPr>
          <w:b/>
          <w:bCs/>
        </w:rPr>
        <w:t xml:space="preserve">12 onglets indépendants</w:t>
      </w:r>
      <w:r>
        <w:t xml:space="preserve"> </w:t>
      </w:r>
      <w:r>
        <w:t xml:space="preserve">(un variant peut apparaître dans plusieurs onglets)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980"/>
        <w:gridCol w:w="4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Onglet</w:t>
            </w:r>
          </w:p>
        </w:tc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Objectif clinique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HIGH_IMPACT</w:t>
            </w:r>
          </w:p>
        </w:tc>
        <w:tc>
          <w:tcPr/>
          <w:p>
            <w:pPr>
              <w:pStyle w:val="Compact"/>
            </w:pPr>
            <w:r>
              <w:t xml:space="preserve">IMPACT = HIGH</w:t>
            </w:r>
          </w:p>
        </w:tc>
        <w:tc>
          <w:tcPr/>
          <w:p>
            <w:pPr>
              <w:pStyle w:val="Compact"/>
            </w:pPr>
            <w:r>
              <w:t xml:space="preserve">Stop-gained, frameshift, splice acceptor/donor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CLINVAR_P_LP</w:t>
            </w:r>
          </w:p>
        </w:tc>
        <w:tc>
          <w:tcPr/>
          <w:p>
            <w:pPr>
              <w:pStyle w:val="Compact"/>
            </w:pPr>
            <w:r>
              <w:t xml:space="preserve">ClinVar Pathogenic/Likely_pathogenic (hors Conflicting)</w:t>
            </w:r>
          </w:p>
        </w:tc>
        <w:tc>
          <w:tcPr/>
          <w:p>
            <w:pPr>
              <w:pStyle w:val="Compact"/>
            </w:pPr>
            <w:r>
              <w:t xml:space="preserve">Variants déjà classés pathogènes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CLINVAR_CONFLICTING</w:t>
            </w:r>
          </w:p>
        </w:tc>
        <w:tc>
          <w:tcPr/>
          <w:p>
            <w:pPr>
              <w:pStyle w:val="Compact"/>
            </w:pPr>
            <w:r>
              <w:t xml:space="preserve">ClinVar Conflicting</w:t>
            </w:r>
          </w:p>
        </w:tc>
        <w:tc>
          <w:tcPr/>
          <w:p>
            <w:pPr>
              <w:pStyle w:val="Compact"/>
            </w:pPr>
            <w:r>
              <w:t xml:space="preserve">Interprétations discordantes entre labos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CLINVAR_VUS</w:t>
            </w:r>
          </w:p>
        </w:tc>
        <w:tc>
          <w:tcPr/>
          <w:p>
            <w:pPr>
              <w:pStyle w:val="Compact"/>
            </w:pPr>
            <w:r>
              <w:t xml:space="preserve">ClinVar Uncertain_significance</w:t>
            </w:r>
          </w:p>
        </w:tc>
        <w:tc>
          <w:tcPr/>
          <w:p>
            <w:pPr>
              <w:pStyle w:val="Compact"/>
            </w:pPr>
            <w:r>
              <w:t xml:space="preserve">Variants de signification incertaine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CLINVAR_NOT_PROVIDED</w:t>
            </w:r>
          </w:p>
        </w:tc>
        <w:tc>
          <w:tcPr/>
          <w:p>
            <w:pPr>
              <w:pStyle w:val="Compact"/>
            </w:pPr>
            <w:r>
              <w:t xml:space="preserve">ClinVar not_provided</w:t>
            </w:r>
          </w:p>
        </w:tc>
        <w:tc>
          <w:tcPr/>
          <w:p>
            <w:pPr>
              <w:pStyle w:val="Compact"/>
            </w:pPr>
            <w:r>
              <w:t xml:space="preserve">Soumis mais non classés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FQ_MODERATE</w:t>
            </w:r>
          </w:p>
        </w:tc>
        <w:tc>
          <w:tcPr/>
          <w:p>
            <w:pPr>
              <w:pStyle w:val="Compact"/>
            </w:pPr>
            <w:r>
              <w:t xml:space="preserve">gnomAD &lt; 0.1 % + IMPACT MODERATE</w:t>
            </w:r>
          </w:p>
        </w:tc>
        <w:tc>
          <w:tcPr/>
          <w:p>
            <w:pPr>
              <w:pStyle w:val="Compact"/>
            </w:pPr>
            <w:r>
              <w:t xml:space="preserve">Missense rares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FQ_LOW</w:t>
            </w:r>
          </w:p>
        </w:tc>
        <w:tc>
          <w:tcPr/>
          <w:p>
            <w:pPr>
              <w:pStyle w:val="Compact"/>
            </w:pPr>
            <w:r>
              <w:t xml:space="preserve">gnomAD &lt; 0.1 % + IMPACT LOW</w:t>
            </w:r>
          </w:p>
        </w:tc>
        <w:tc>
          <w:tcPr/>
          <w:p>
            <w:pPr>
              <w:pStyle w:val="Compact"/>
            </w:pPr>
            <w:r>
              <w:t xml:space="preserve">Synonymes rares (potentiel splice)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FQ_MODIFIER</w:t>
            </w:r>
          </w:p>
        </w:tc>
        <w:tc>
          <w:tcPr/>
          <w:p>
            <w:pPr>
              <w:pStyle w:val="Compact"/>
            </w:pPr>
            <w:r>
              <w:t xml:space="preserve">gnomAD &lt; 0.1 % + MODIFIER + (SpliceAI ≥ 0.5 OU SPiP Altered)</w:t>
            </w:r>
          </w:p>
        </w:tc>
        <w:tc>
          <w:tcPr/>
          <w:p>
            <w:pPr>
              <w:pStyle w:val="Compact"/>
            </w:pPr>
            <w:r>
              <w:t xml:space="preserve">Introniques avec signal d’épissage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4_CALLERS</w:t>
            </w:r>
          </w:p>
        </w:tc>
        <w:tc>
          <w:tcPr/>
          <w:p>
            <w:pPr>
              <w:pStyle w:val="Compact"/>
            </w:pPr>
            <w:r>
              <w:t xml:space="preserve">CALLNB ≥ 4</w:t>
            </w:r>
          </w:p>
        </w:tc>
        <w:tc>
          <w:tcPr/>
          <w:p>
            <w:pPr>
              <w:pStyle w:val="Compact"/>
            </w:pPr>
            <w:r>
              <w:t xml:space="preserve">Consensus des 4 variant callers (Mutect2, Strelka2, GATK HC, DeepVariant)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LOVD</w:t>
            </w:r>
          </w:p>
        </w:tc>
        <w:tc>
          <w:tcPr/>
          <w:p>
            <w:pPr>
              <w:pStyle w:val="Compact"/>
            </w:pPr>
            <w:r>
              <w:t xml:space="preserve">Entrée LOVD non vide</w:t>
            </w:r>
          </w:p>
        </w:tc>
        <w:tc>
          <w:tcPr/>
          <w:p>
            <w:pPr>
              <w:pStyle w:val="Compact"/>
            </w:pPr>
            <w:r>
              <w:t xml:space="preserve">Variant répertorié dans la base LOVD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MOSAIC</w:t>
            </w:r>
          </w:p>
        </w:tc>
        <w:tc>
          <w:tcPr/>
          <w:p>
            <w:pPr>
              <w:pStyle w:val="Compact"/>
            </w:pPr>
            <w:r>
              <w:t xml:space="preserve">5 % &lt; AF ≤ 35 %, RNCNT ≤ 2</w:t>
            </w:r>
          </w:p>
        </w:tc>
        <w:tc>
          <w:tcPr/>
          <w:p>
            <w:pPr>
              <w:pStyle w:val="Compact"/>
            </w:pPr>
            <w:r>
              <w:t xml:space="preserve">Mosaïcisme somatique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DEEP_MOSAIC</w:t>
            </w:r>
          </w:p>
        </w:tc>
        <w:tc>
          <w:tcPr/>
          <w:p>
            <w:pPr>
              <w:pStyle w:val="Compact"/>
            </w:pPr>
            <w:r>
              <w:t xml:space="preserve">0.5 % &lt; AF ≤ 5 %, RNCNT ≤ 2, DP ≥ 200, SB non extrême</w:t>
            </w:r>
          </w:p>
        </w:tc>
        <w:tc>
          <w:tcPr/>
          <w:p>
            <w:pPr>
              <w:pStyle w:val="Compact"/>
            </w:pPr>
            <w:r>
              <w:t xml:space="preserve">Mosaïcisme profond (sous le seuil classique)</w:t>
            </w:r>
          </w:p>
        </w:tc>
      </w:tr>
    </w:tbl>
    <w:p>
      <w:pPr>
        <w:pStyle w:val="BodyText"/>
      </w:pPr>
      <w:r>
        <w:t xml:space="preserve">Un onglet supplémentaire</w:t>
      </w:r>
      <w:r>
        <w:t xml:space="preserve"> </w:t>
      </w:r>
      <w:r>
        <w:rPr>
          <w:b/>
          <w:bCs/>
        </w:rPr>
        <w:t xml:space="preserve">RHEB_PKD1</w:t>
      </w:r>
      <w:r>
        <w:t xml:space="preserve"> </w:t>
      </w:r>
      <w:r>
        <w:t xml:space="preserve">regroupe tous les variants des gènes RHEB et PKD1 (gènes voisins de TSC1/TSC2 sur les mêmes loci) sans filtre de qualité.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formatage-excel-avancé"/>
    <w:p>
      <w:pPr>
        <w:pStyle w:val="Heading1"/>
      </w:pPr>
      <w:r>
        <w:t xml:space="preserve">3. Formatage Excel avancé</w:t>
      </w:r>
    </w:p>
    <w:bookmarkStart w:id="16" w:name="coloration-conditionnelle-des-cellules"/>
    <w:p>
      <w:pPr>
        <w:pStyle w:val="Heading2"/>
      </w:pPr>
      <w:r>
        <w:t xml:space="preserve">3.1. Coloration conditionnelle des cellules</w:t>
      </w:r>
    </w:p>
    <w:p>
      <w:pPr>
        <w:pStyle w:val="FirstParagraph"/>
      </w:pPr>
      <w:r>
        <w:t xml:space="preserve">Chaque cellule de données est colorée selon des règles spécifiques à sa colonne, avec une palette cohérente (vert → jaune → orange → rouge)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1284"/>
        <w:gridCol w:w="1498"/>
        <w:gridCol w:w="1712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Vert</w:t>
            </w:r>
          </w:p>
        </w:tc>
        <w:tc>
          <w:tcPr/>
          <w:p>
            <w:pPr>
              <w:pStyle w:val="Compact"/>
            </w:pPr>
            <w:r>
              <w:t xml:space="preserve">Jaune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Rouge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AF_PCT</w:t>
            </w:r>
          </w:p>
        </w:tc>
        <w:tc>
          <w:tcPr/>
          <w:p>
            <w:pPr>
              <w:pStyle w:val="Compact"/>
            </w:pPr>
            <w:r>
              <w:t xml:space="preserve">40–60 % (hétérozygote)</w:t>
            </w:r>
          </w:p>
        </w:tc>
        <w:tc>
          <w:tcPr/>
          <w:p>
            <w:pPr>
              <w:pStyle w:val="Compact"/>
            </w:pPr>
            <w:r>
              <w:t xml:space="preserve">5–40 % (mosaïque)</w:t>
            </w:r>
          </w:p>
        </w:tc>
        <w:tc>
          <w:tcPr/>
          <w:p>
            <w:pPr>
              <w:pStyle w:val="Compact"/>
            </w:pPr>
            <w:r>
              <w:t xml:space="preserve">0.5–5 % (deep mosaic)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</w:t>
            </w:r>
          </w:p>
        </w:tc>
        <w:tc>
          <w:tcPr/>
          <w:p>
            <w:pPr>
              <w:pStyle w:val="Compact"/>
            </w:pPr>
            <w:r>
              <w:t xml:space="preserve">0.4–0.6</w:t>
            </w:r>
          </w:p>
        </w:tc>
        <w:tc>
          <w:tcPr/>
          <w:p>
            <w:pPr>
              <w:pStyle w:val="Compact"/>
            </w:pPr>
            <w:r>
              <w:t xml:space="preserve">0.3–0.4 / 0.6–0.7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&lt; 0.3 / &gt; 0.7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CALLNB</w:t>
            </w:r>
          </w:p>
        </w:tc>
        <w:tc>
          <w:tcPr/>
          <w:p>
            <w:pPr>
              <w:pStyle w:val="Compact"/>
            </w:pPr>
            <w:r>
              <w:t xml:space="preserve">4 callers</w:t>
            </w:r>
          </w:p>
        </w:tc>
        <w:tc>
          <w:tcPr/>
          <w:p>
            <w:pPr>
              <w:pStyle w:val="Compact"/>
            </w:pPr>
            <w:r>
              <w:t xml:space="preserve">2 callers</w:t>
            </w:r>
          </w:p>
        </w:tc>
        <w:tc>
          <w:tcPr/>
          <w:p>
            <w:pPr>
              <w:pStyle w:val="Compact"/>
            </w:pPr>
            <w:r>
              <w:t xml:space="preserve">1 caller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RNCNT_TOTAL</w:t>
            </w:r>
          </w:p>
        </w:tc>
        <w:tc>
          <w:tcPr/>
          <w:p>
            <w:pPr>
              <w:pStyle w:val="Compact"/>
            </w:pPr>
            <w:r>
              <w:t xml:space="preserve">0 (unique)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REVEL</w:t>
            </w:r>
          </w:p>
        </w:tc>
        <w:tc>
          <w:tcPr/>
          <w:p>
            <w:pPr>
              <w:pStyle w:val="Compact"/>
            </w:pPr>
            <w:r>
              <w:t xml:space="preserve">&lt; 0.5 (bénin)</w:t>
            </w:r>
          </w:p>
        </w:tc>
        <w:tc>
          <w:tcPr/>
          <w:p>
            <w:pPr>
              <w:pStyle w:val="Compact"/>
            </w:pPr>
            <w:r>
              <w:t xml:space="preserve">0.5–0.75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 0.75 (pathogène)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CADD_PHRED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20–30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SpliceAI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0.5–0.8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 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USER_CLASS</w:t>
            </w:r>
          </w:p>
        </w:tc>
        <w:tc>
          <w:tcPr/>
          <w:p>
            <w:pPr>
              <w:pStyle w:val="Compact"/>
            </w:pPr>
            <w:r>
              <w:t xml:space="preserve">1–2 (bénin)</w:t>
            </w:r>
          </w:p>
        </w:tc>
        <w:tc>
          <w:tcPr/>
          <w:p>
            <w:pPr>
              <w:pStyle w:val="Compact"/>
            </w:pPr>
            <w:r>
              <w:t xml:space="preserve">3 (VUS)</w:t>
            </w:r>
          </w:p>
        </w:tc>
        <w:tc>
          <w:tcPr/>
          <w:p>
            <w:pPr>
              <w:pStyle w:val="Compact"/>
            </w:pPr>
            <w:r>
              <w:t xml:space="preserve">4 (probablement patho)</w:t>
            </w:r>
          </w:p>
        </w:tc>
        <w:tc>
          <w:tcPr/>
          <w:p>
            <w:pPr>
              <w:pStyle w:val="Compact"/>
            </w:pPr>
            <w:r>
              <w:t xml:space="preserve">5 (pathogène)</w:t>
            </w:r>
          </w:p>
        </w:tc>
      </w:tr>
    </w:tbl>
    <w:bookmarkEnd w:id="16"/>
    <w:bookmarkStart w:id="20" w:name="score-de-qualité-variant-import-defgen"/>
    <w:p>
      <w:pPr>
        <w:pStyle w:val="Heading2"/>
      </w:pPr>
      <w:r>
        <w:t xml:space="preserve">3.2. Score de qualité variant (Import DefGen)</w:t>
      </w:r>
    </w:p>
    <w:p>
      <w:pPr>
        <w:pStyle w:val="FirstParagraph"/>
      </w:pPr>
      <w:r>
        <w:t xml:space="preserve">Chaque variant reçoit un</w:t>
      </w:r>
      <w:r>
        <w:t xml:space="preserve"> </w:t>
      </w:r>
      <w:r>
        <w:rPr>
          <w:b/>
          <w:bCs/>
        </w:rPr>
        <w:t xml:space="preserve">score de qualité global</w:t>
      </w:r>
      <w:r>
        <w:t xml:space="preserve"> </w:t>
      </w:r>
      <w:r>
        <w:t xml:space="preserve">(0–100 %) affiché sous forme de gradient de couleur sur la cellule</w:t>
      </w:r>
      <w:r>
        <w:t xml:space="preserve"> </w:t>
      </w:r>
      <w:r>
        <w:rPr>
          <w:rStyle w:val="VerbatimChar"/>
        </w:rPr>
        <w:t xml:space="preserve">Import DefGen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Rouge</w:t>
      </w:r>
      <w:r>
        <w:t xml:space="preserve"> </w:t>
      </w:r>
      <w:r>
        <w:t xml:space="preserve">(0 %) →</w:t>
      </w:r>
      <w:r>
        <w:t xml:space="preserve"> </w:t>
      </w:r>
      <w:r>
        <w:rPr>
          <w:b/>
          <w:bCs/>
        </w:rPr>
        <w:t xml:space="preserve">Jaune</w:t>
      </w:r>
      <w:r>
        <w:t xml:space="preserve"> </w:t>
      </w:r>
      <w:r>
        <w:t xml:space="preserve">(50 %) →</w:t>
      </w:r>
      <w:r>
        <w:t xml:space="preserve"> </w:t>
      </w:r>
      <w:r>
        <w:rPr>
          <w:b/>
          <w:bCs/>
        </w:rPr>
        <w:t xml:space="preserve">Vert</w:t>
      </w:r>
      <w:r>
        <w:t xml:space="preserve"> </w:t>
      </w:r>
      <w:r>
        <w:t xml:space="preserve">(100 %)</w:t>
      </w:r>
    </w:p>
    <w:p>
      <w:pPr>
        <w:pStyle w:val="FirstParagraph"/>
      </w:pPr>
      <w:r>
        <w:t xml:space="preserve">Le score est la moyenne pondérée de deux axes indépendants :</w:t>
      </w:r>
    </w:p>
    <w:bookmarkStart w:id="17" w:name="axe-technique-fiabilité-du-calling"/>
    <w:p>
      <w:pPr>
        <w:pStyle w:val="Heading3"/>
      </w:pPr>
      <w:r>
        <w:t xml:space="preserve">Axe technique (fiabilité du calling)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98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Évaluation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Strand Bias (SB)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0.3–0.7 = bon, &lt; 0.2 ou &gt; 0.8 = mauvais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 callers (CALLNB)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4 = excellent, 3 = bon, 2 = modéré, 1 = suspect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Récurrence run (RNCNT)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 = unique, 1–2 = modéré, &gt; 4 = suspect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Récurrence inter-projets (PJCNT)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 = unique, &gt; 5 = suspect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Cohérence DP/AF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≥ 5 reads alt attendus = bon</w:t>
            </w:r>
          </w:p>
        </w:tc>
      </w:tr>
    </w:tbl>
    <w:bookmarkEnd w:id="17"/>
    <w:bookmarkStart w:id="18" w:name="axe-biologique-pertinence-clinique"/>
    <w:p>
      <w:pPr>
        <w:pStyle w:val="Heading3"/>
      </w:pPr>
      <w:r>
        <w:t xml:space="preserve">Axe biologique (pertinence clinique)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98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Évaluation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ClinVar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Pathogenic = 100 %, VUS = 60 %, Absent = 40 %, Benign = 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fonctionnel (VEP)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HIGH = 100 %, MODERATE = 75 %, LOW = 25 %, MODIFIER = 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gnomAD fréquence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Absent = 100 %, ultra-rare &lt; 0.01 % = 67 %, rare &lt; 0.1 % = 33 %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≥ 30 = 100 %, 20–30 = 50 %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REVEL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≥ 0.75 = 100 %, 0.5–0.75 = 50 %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SpliceAI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≥ 0.8 = 100 %, 0.5–0.8 = 50 %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LOVD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Présent = 100 %</w:t>
            </w:r>
          </w:p>
        </w:tc>
      </w:tr>
    </w:tbl>
    <w:bookmarkEnd w:id="18"/>
    <w:bookmarkStart w:id="19" w:name="commentaire-détaillé-au-survol"/>
    <w:p>
      <w:pPr>
        <w:pStyle w:val="Heading3"/>
      </w:pPr>
      <w:r>
        <w:t xml:space="preserve">Commentaire détaillé au survol</w:t>
      </w:r>
    </w:p>
    <w:p>
      <w:pPr>
        <w:pStyle w:val="FirstParagraph"/>
      </w:pPr>
      <w:r>
        <w:t xml:space="preserve">Au survol de la cellule</w:t>
      </w:r>
      <w:r>
        <w:t xml:space="preserve"> </w:t>
      </w:r>
      <w:r>
        <w:rPr>
          <w:rStyle w:val="VerbatimChar"/>
        </w:rPr>
        <w:t xml:space="preserve">Import DefGen</w:t>
      </w:r>
      <w:r>
        <w:t xml:space="preserve">, un commentaire structuré s’affiche :</w:t>
      </w:r>
    </w:p>
    <w:p>
      <w:pPr>
        <w:pStyle w:val="SourceCode"/>
      </w:pPr>
      <w:r>
        <w:rPr>
          <w:rStyle w:val="VerbatimChar"/>
        </w:rPr>
        <w:t xml:space="preserve">===================================</w:t>
      </w:r>
      <w:r>
        <w:br/>
      </w:r>
      <w:r>
        <w:rPr>
          <w:rStyle w:val="VerbatimChar"/>
        </w:rPr>
        <w:t xml:space="preserve">  SCORE : 78% — Variant solide, à valider</w:t>
      </w:r>
      <w:r>
        <w:br/>
      </w:r>
      <w:r>
        <w:rPr>
          <w:rStyle w:val="VerbatimChar"/>
        </w:rPr>
        <w:t xml:space="preserve">  Tech 4/5  |  Bio 3/4</w:t>
      </w:r>
      <w:r>
        <w:br/>
      </w:r>
      <w:r>
        <w:rPr>
          <w:rStyle w:val="VerbatimChar"/>
        </w:rPr>
        <w:t xml:space="preserve">===================================</w:t>
      </w:r>
      <w:r>
        <w:br/>
      </w:r>
      <w:r>
        <w:br/>
      </w:r>
      <w:r>
        <w:rPr>
          <w:rStyle w:val="VerbatimChar"/>
        </w:rPr>
        <w:t xml:space="preserve">(+) SB équilibré, 3 callers, ClinVar P/LP, HIGH impact (stop_gained)</w:t>
      </w:r>
      <w:r>
        <w:br/>
      </w:r>
      <w:r>
        <w:rPr>
          <w:rStyle w:val="VerbatimChar"/>
        </w:rPr>
        <w:t xml:space="preserve">(-) RNCNT=2 récurrent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TECHNIQUE (4/5) :</w:t>
      </w:r>
      <w:r>
        <w:br/>
      </w:r>
      <w:r>
        <w:rPr>
          <w:rStyle w:val="VerbatimChar"/>
        </w:rPr>
        <w:t xml:space="preserve">  ✓ SB=0.45 (équilibré)</w:t>
      </w:r>
      <w:r>
        <w:br/>
      </w:r>
      <w:r>
        <w:rPr>
          <w:rStyle w:val="VerbatimChar"/>
        </w:rPr>
        <w:t xml:space="preserve">  ✓ CALLNB=3 (3 callers concordants)</w:t>
      </w:r>
      <w:r>
        <w:br/>
      </w:r>
      <w:r>
        <w:rPr>
          <w:rStyle w:val="VerbatimChar"/>
        </w:rPr>
        <w:t xml:space="preserve">  ~ RNCNT=2 (peu fréquent)</w:t>
      </w:r>
      <w:r>
        <w:br/>
      </w:r>
      <w:r>
        <w:rPr>
          <w:rStyle w:val="VerbatimChar"/>
        </w:rPr>
        <w:t xml:space="preserve">  ✓ PJCNT=0 (jamais vu inter-projets)</w:t>
      </w:r>
      <w:r>
        <w:br/>
      </w:r>
      <w:r>
        <w:rPr>
          <w:rStyle w:val="VerbatimChar"/>
        </w:rPr>
        <w:t xml:space="preserve">  ✓ DP=350, AF=47.2% (~165 reads alt)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BIOLOGIQUE (3/4) :</w:t>
      </w:r>
      <w:r>
        <w:br/>
      </w:r>
      <w:r>
        <w:rPr>
          <w:rStyle w:val="VerbatimChar"/>
        </w:rPr>
        <w:t xml:space="preserve">  ✓ ClinVar: Pathogenic</w:t>
      </w:r>
      <w:r>
        <w:br/>
      </w:r>
      <w:r>
        <w:rPr>
          <w:rStyle w:val="VerbatimChar"/>
        </w:rPr>
        <w:t xml:space="preserve">  ✓ IMPACT: HIGH (stop_gained)</w:t>
      </w:r>
      <w:r>
        <w:br/>
      </w:r>
      <w:r>
        <w:rPr>
          <w:rStyle w:val="VerbatimChar"/>
        </w:rPr>
        <w:t xml:space="preserve">  ✗ SpliceAI=0.12</w:t>
      </w:r>
      <w:r>
        <w:br/>
      </w:r>
      <w:r>
        <w:rPr>
          <w:rStyle w:val="VerbatimChar"/>
        </w:rPr>
        <w:t xml:space="preserve">  ✓ Absent gnomAD (novel)</w:t>
      </w:r>
    </w:p>
    <w:p>
      <w:pPr>
        <w:pStyle w:val="FirstParagraph"/>
      </w:pPr>
      <w:r>
        <w:t xml:space="preserve">Les verdicts sont configurables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Verdict par défaut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70 %</w:t>
            </w:r>
          </w:p>
        </w:tc>
        <w:tc>
          <w:tcPr/>
          <w:p>
            <w:pPr>
              <w:pStyle w:val="Compact"/>
            </w:pPr>
            <w:r>
              <w:t xml:space="preserve">Variant solide, à valider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50 %</w:t>
            </w:r>
          </w:p>
        </w:tc>
        <w:tc>
          <w:tcPr/>
          <w:p>
            <w:pPr>
              <w:pStyle w:val="Compact"/>
            </w:pPr>
            <w:r>
              <w:t xml:space="preserve">À évaluer — signaux mixtes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30 %</w:t>
            </w:r>
          </w:p>
        </w:tc>
        <w:tc>
          <w:tcPr/>
          <w:p>
            <w:pPr>
              <w:pStyle w:val="Compact"/>
            </w:pPr>
            <w:r>
              <w:t xml:space="preserve">Probablement artefact ou inintéressant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30 %</w:t>
            </w:r>
          </w:p>
        </w:tc>
        <w:tc>
          <w:tcPr/>
          <w:p>
            <w:pPr>
              <w:pStyle w:val="Compact"/>
            </w:pPr>
            <w:r>
              <w:t xml:space="preserve">Artefact probable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Tous les poids et seuils du scoring sont modifiables 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config.yaml</w:t>
      </w:r>
      <w:r>
        <w:t xml:space="preserve"> </w:t>
      </w:r>
      <w:r>
        <w:t xml:space="preserve">sans toucher au code.</w:t>
      </w:r>
    </w:p>
    <w:bookmarkEnd w:id="19"/>
    <w:bookmarkEnd w:id="20"/>
    <w:bookmarkStart w:id="21" w:name="détection-de-doublons-inter-onglets"/>
    <w:p>
      <w:pPr>
        <w:pStyle w:val="Heading2"/>
      </w:pPr>
      <w:r>
        <w:t xml:space="preserve">3.3. Détection de doublons inter-onglets</w:t>
      </w:r>
    </w:p>
    <w:p>
      <w:pPr>
        <w:pStyle w:val="FirstParagraph"/>
      </w:pPr>
      <w:r>
        <w:t xml:space="preserve">Un variant peut apparaître dans plusieurs onglets (ex. : un variant HIGH + ClinVar Pathogenic + LOVD apparaît dans 3 feuilles). Le pipeline détecte ces doublons et applique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Police bleue</w:t>
      </w:r>
      <w:r>
        <w:t xml:space="preserve"> </w:t>
      </w:r>
      <w:r>
        <w:t xml:space="preserve">sur la cellule</w:t>
      </w:r>
      <w:r>
        <w:t xml:space="preserve"> </w:t>
      </w:r>
      <w:r>
        <w:rPr>
          <w:rStyle w:val="VerbatimChar"/>
        </w:rPr>
        <w:t xml:space="preserve">HGVSc</w:t>
      </w:r>
      <w:r>
        <w:t xml:space="preserve"> </w:t>
      </w:r>
      <w:r>
        <w:t xml:space="preserve">pour signaler visuellement le doublon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Commentaire au survol</w:t>
      </w:r>
      <w:r>
        <w:t xml:space="preserve"> </w:t>
      </w:r>
      <w:r>
        <w:t xml:space="preserve">listant les autres onglets :</w:t>
      </w:r>
      <w:r>
        <w:t xml:space="preserve"> </w:t>
      </w:r>
      <w:r>
        <w:rPr>
          <w:i/>
          <w:iCs/>
        </w:rPr>
        <w:t xml:space="preserve">« Aussi dans : CLINVAR_P_LP, LOVD »</w:t>
      </w:r>
    </w:p>
    <w:bookmarkEnd w:id="21"/>
    <w:bookmarkStart w:id="22" w:name="formules-dynamiques-user_com"/>
    <w:p>
      <w:pPr>
        <w:pStyle w:val="Heading2"/>
      </w:pPr>
      <w:r>
        <w:t xml:space="preserve">3.4. Formules dynamiques USER_COM</w:t>
      </w:r>
    </w:p>
    <w:p>
      <w:pPr>
        <w:pStyle w:val="FirstParagraph"/>
      </w:pPr>
      <w:r>
        <w:t xml:space="preserve">Pour chaque variant présent dans plusieurs onglets, une</w:t>
      </w:r>
      <w:r>
        <w:t xml:space="preserve"> </w:t>
      </w:r>
      <w:r>
        <w:rPr>
          <w:b/>
          <w:bCs/>
        </w:rPr>
        <w:t xml:space="preserve">formule Excel dynamique</w:t>
      </w:r>
      <w:r>
        <w:t xml:space="preserve"> </w:t>
      </w:r>
      <w:r>
        <w:t xml:space="preserve">est injectée dans la colonne</w:t>
      </w:r>
      <w:r>
        <w:t xml:space="preserve"> </w:t>
      </w:r>
      <w:r>
        <w:rPr>
          <w:rStyle w:val="VerbatimChar"/>
        </w:rPr>
        <w:t xml:space="preserve">USER_COM</w:t>
      </w:r>
      <w:r>
        <w:t xml:space="preserve">. Cette formule agrège automatiquement les annotations</w:t>
      </w:r>
      <w:r>
        <w:t xml:space="preserve"> </w:t>
      </w:r>
      <w:r>
        <w:rPr>
          <w:rStyle w:val="VerbatimChar"/>
        </w:rPr>
        <w:t xml:space="preserve">USER_CLASS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USER_ANNOT</w:t>
      </w:r>
      <w:r>
        <w:t xml:space="preserve"> </w:t>
      </w:r>
      <w:r>
        <w:t xml:space="preserve">saisies dans les autres onglets :</w:t>
      </w:r>
    </w:p>
    <w:p>
      <w:pPr>
        <w:pStyle w:val="SourceCode"/>
      </w:pPr>
      <w:r>
        <w:rPr>
          <w:rStyle w:val="VerbatimChar"/>
        </w:rPr>
        <w:t xml:space="preserve">=MID(IF(OR('HIGH_IMPACT'!J2&lt;&gt;"", 'HIGH_IMPACT'!K2&lt;&gt;""),</w:t>
      </w:r>
      <w:r>
        <w:br/>
      </w:r>
      <w:r>
        <w:rPr>
          <w:rStyle w:val="VerbatimChar"/>
        </w:rPr>
        <w:t xml:space="preserve">  " | HIGH_IMPACT: "&amp;'HIGH_IMPACT'!J2&amp;" "&amp;'HIGH_IMPACT'!K2, "")</w:t>
      </w:r>
      <w:r>
        <w:br/>
      </w:r>
      <w:r>
        <w:rPr>
          <w:rStyle w:val="VerbatimChar"/>
        </w:rPr>
        <w:t xml:space="preserve">&amp;IF(OR('LOVD'!J2&lt;&gt;"", 'LOVD'!K2&lt;&gt;""),</w:t>
      </w:r>
      <w:r>
        <w:br/>
      </w:r>
      <w:r>
        <w:rPr>
          <w:rStyle w:val="VerbatimChar"/>
        </w:rPr>
        <w:t xml:space="preserve">  " | LOVD: "&amp;'LOVD'!J2&amp;" "&amp;'LOVD'!K2, ""), 4, 9999)</w:t>
      </w:r>
    </w:p>
    <w:p>
      <w:pPr>
        <w:pStyle w:val="FirstParagraph"/>
      </w:pPr>
      <w:r>
        <w:rPr>
          <w:b/>
          <w:bCs/>
        </w:rPr>
        <w:t xml:space="preserve">Avantage</w:t>
      </w:r>
      <w:r>
        <w:t xml:space="preserve"> </w:t>
      </w:r>
      <w:r>
        <w:t xml:space="preserve">: lorsque le biologiste annote un variant dans un onglet (ex. classe ACMG « 5 » dans</w:t>
      </w:r>
      <w:r>
        <w:t xml:space="preserve"> </w:t>
      </w:r>
      <w:r>
        <w:rPr>
          <w:rStyle w:val="VerbatimChar"/>
        </w:rPr>
        <w:t xml:space="preserve">USER_CLASS</w:t>
      </w:r>
      <w:r>
        <w:t xml:space="preserve">), cette annotation se propage automatiquement dans tous les autres onglets contenant le même variant, évitant les saisies redondantes.</w:t>
      </w:r>
    </w:p>
    <w:p>
      <w:pPr>
        <w:pStyle w:val="BodyText"/>
      </w:pPr>
      <w:r>
        <w:t xml:space="preserve">Compatible Excel 2010+ (pas de TEXTJOIN).</w:t>
      </w:r>
    </w:p>
    <w:bookmarkEnd w:id="22"/>
    <w:bookmarkStart w:id="23" w:name="Xf5bb9d70d36a5156d3c37a8ae3e2842f671d541"/>
    <w:p>
      <w:pPr>
        <w:pStyle w:val="Heading2"/>
      </w:pPr>
      <w:r>
        <w:t xml:space="preserve">3.5. Détection des variants downstream dans les gènes voisins</w:t>
      </w:r>
    </w:p>
    <w:p>
      <w:pPr>
        <w:pStyle w:val="FirstParagraph"/>
      </w:pPr>
      <w:r>
        <w:t xml:space="preserve">Les gènes TSC2 et PKD1 sont adjacents sur le chromosome 16. Un variant annoté</w:t>
      </w:r>
      <w:r>
        <w:t xml:space="preserve"> </w:t>
      </w:r>
      <w:r>
        <w:rPr>
          <w:rStyle w:val="VerbatimChar"/>
        </w:rPr>
        <w:t xml:space="preserve">downstream_gene_variant</w:t>
      </w:r>
      <w:r>
        <w:t xml:space="preserve"> </w:t>
      </w:r>
      <w:r>
        <w:t xml:space="preserve">pour TSC2 peut en réalité se situer dans PKD1 (ou dans la région intergénique entre les deux).</w:t>
      </w:r>
    </w:p>
    <w:p>
      <w:pPr>
        <w:pStyle w:val="BodyText"/>
      </w:pPr>
      <w:r>
        <w:t xml:space="preserve">Le pipeline identifie ces cas par coordonnées génomiques (GRCh38) et applique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Fond bleu + police bleue</w:t>
      </w:r>
      <w:r>
        <w:t xml:space="preserve"> </w:t>
      </w:r>
      <w:r>
        <w:t xml:space="preserve">sur la cellule</w:t>
      </w:r>
      <w:r>
        <w:t xml:space="preserve"> </w:t>
      </w:r>
      <w:r>
        <w:rPr>
          <w:rStyle w:val="VerbatimChar"/>
        </w:rPr>
        <w:t xml:space="preserve">Consequence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Police bleue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HGVSc</w:t>
      </w:r>
      <w:r>
        <w:t xml:space="preserve"> </w:t>
      </w:r>
      <w:r>
        <w:t xml:space="preserve">dans la feuille RHEB_PKD1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Commentaire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« Position dans PKD1 »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igv_capture.py-captures-igv-automatisées"/>
    <w:p>
      <w:pPr>
        <w:pStyle w:val="Heading1"/>
      </w:pPr>
      <w:r>
        <w:t xml:space="preserve">4. igv_capture.py — Captures IGV automatisées</w:t>
      </w:r>
    </w:p>
    <w:bookmarkStart w:id="25" w:name="principe"/>
    <w:p>
      <w:pPr>
        <w:pStyle w:val="Heading2"/>
      </w:pPr>
      <w:r>
        <w:t xml:space="preserve">4.1. Principe</w:t>
      </w:r>
    </w:p>
    <w:p>
      <w:pPr>
        <w:pStyle w:val="FirstParagraph"/>
      </w:pPr>
      <w:r>
        <w:t xml:space="preserve">Pour chaque variant annoté par le biologiste (cellules</w:t>
      </w:r>
      <w:r>
        <w:t xml:space="preserve"> </w:t>
      </w:r>
      <w:r>
        <w:rPr>
          <w:rStyle w:val="VerbatimChar"/>
        </w:rPr>
        <w:t xml:space="preserve">USER_CLASS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USER_ANNOT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USER_COM</w:t>
      </w:r>
      <w:r>
        <w:t xml:space="preserve"> </w:t>
      </w:r>
      <w:r>
        <w:t xml:space="preserve">non vides), le script pilote IGV Desktop via son API TCP socket et génère</w:t>
      </w:r>
      <w:r>
        <w:t xml:space="preserve"> </w:t>
      </w:r>
      <w:r>
        <w:rPr>
          <w:b/>
          <w:bCs/>
        </w:rPr>
        <w:t xml:space="preserve">3 captures d’écran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Vue</w:t>
            </w:r>
          </w:p>
        </w:tc>
        <w:tc>
          <w:tcPr/>
          <w:p>
            <w:pPr>
              <w:pStyle w:val="Compact"/>
            </w:pPr>
            <w:r>
              <w:t xml:space="preserve">Paramètre IGV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COLOR_BY READ_STRAND</w:t>
            </w:r>
          </w:p>
        </w:tc>
        <w:tc>
          <w:tcPr/>
          <w:p>
            <w:pPr>
              <w:pStyle w:val="Compact"/>
            </w:pPr>
            <w:r>
              <w:t xml:space="preserve">Détecter un biais de brin (artefact)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Soft-clip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SHOW_SOFT_CLIPPED true</w:t>
            </w:r>
          </w:p>
        </w:tc>
        <w:tc>
          <w:tcPr/>
          <w:p>
            <w:pPr>
              <w:pStyle w:val="Compact"/>
            </w:pPr>
            <w:r>
              <w:t xml:space="preserve">Repérer les réarrangements/insertions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DISPLAY_MODE SQUISHED</w:t>
            </w:r>
          </w:p>
        </w:tc>
        <w:tc>
          <w:tcPr/>
          <w:p>
            <w:pPr>
              <w:pStyle w:val="Compact"/>
            </w:pPr>
            <w:r>
              <w:t xml:space="preserve">Vue d’ensemble de la couverture</w:t>
            </w:r>
          </w:p>
        </w:tc>
      </w:tr>
    </w:tbl>
    <w:bookmarkEnd w:id="25"/>
    <w:bookmarkStart w:id="26" w:name="fonctionnement"/>
    <w:p>
      <w:pPr>
        <w:pStyle w:val="Heading2"/>
      </w:pPr>
      <w:r>
        <w:t xml:space="preserve">4.2. Fonctionnement</w:t>
      </w:r>
    </w:p>
    <w:p>
      <w:pPr>
        <w:pStyle w:val="Compact"/>
        <w:numPr>
          <w:ilvl w:val="0"/>
          <w:numId w:val="1005"/>
        </w:numPr>
      </w:pPr>
      <w:r>
        <w:t xml:space="preserve">Extraction de l’ID échantillon depuis le nom de fichier (</w:t>
      </w:r>
      <w:r>
        <w:rPr>
          <w:rStyle w:val="VerbatimChar"/>
        </w:rPr>
        <w:t xml:space="preserve">TSC_063_345822_S2_filtered.xlsx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345822_S2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Localisation automatique des 3 BAMs (RAW, MUTECT2, CHIM) et de leurs index</w:t>
      </w:r>
    </w:p>
    <w:p>
      <w:pPr>
        <w:pStyle w:val="Compact"/>
        <w:numPr>
          <w:ilvl w:val="0"/>
          <w:numId w:val="1005"/>
        </w:numPr>
      </w:pPr>
      <w:r>
        <w:t xml:space="preserve">Initialisation IGV : reset session, chargement du génome hg38, chargement des 3 BAMs</w:t>
      </w:r>
    </w:p>
    <w:p>
      <w:pPr>
        <w:pStyle w:val="Compact"/>
        <w:numPr>
          <w:ilvl w:val="0"/>
          <w:numId w:val="1005"/>
        </w:numPr>
      </w:pPr>
      <w:r>
        <w:t xml:space="preserve">Pour chaque variant :</w:t>
      </w:r>
    </w:p>
    <w:p>
      <w:pPr>
        <w:pStyle w:val="Compact"/>
        <w:numPr>
          <w:ilvl w:val="1"/>
          <w:numId w:val="1006"/>
        </w:numPr>
      </w:pPr>
      <w:r>
        <w:t xml:space="preserve">Calcul de la hauteur de panel dynamique (</w:t>
      </w:r>
      <w:r>
        <w:rPr>
          <w:rStyle w:val="VerbatimChar"/>
        </w:rPr>
        <w:t xml:space="preserve">DP × 2 + 150</w:t>
      </w:r>
      <w:r>
        <w:t xml:space="preserve"> </w:t>
      </w:r>
      <w:r>
        <w:t xml:space="preserve">pixels)</w:t>
      </w:r>
    </w:p>
    <w:p>
      <w:pPr>
        <w:pStyle w:val="Compact"/>
        <w:numPr>
          <w:ilvl w:val="1"/>
          <w:numId w:val="1006"/>
        </w:numPr>
      </w:pPr>
      <w:r>
        <w:t xml:space="preserve">Navigation au locus (±145 pb autour de la position)</w:t>
      </w:r>
    </w:p>
    <w:p>
      <w:pPr>
        <w:pStyle w:val="Compact"/>
        <w:numPr>
          <w:ilvl w:val="1"/>
          <w:numId w:val="1006"/>
        </w:numPr>
      </w:pPr>
      <w:r>
        <w:t xml:space="preserve">Génération des 3 captures dans</w:t>
      </w:r>
      <w:r>
        <w:t xml:space="preserve"> </w:t>
      </w:r>
      <w:r>
        <w:rPr>
          <w:rStyle w:val="VerbatimChar"/>
        </w:rPr>
        <w:t xml:space="preserve">~/data/TSC_063/igv_captures/&lt;sample_id&gt;/</w:t>
      </w:r>
    </w:p>
    <w:bookmarkEnd w:id="26"/>
    <w:bookmarkStart w:id="27" w:name="termes-dexclusion-igv"/>
    <w:p>
      <w:pPr>
        <w:pStyle w:val="Heading2"/>
      </w:pPr>
      <w:r>
        <w:t xml:space="preserve">4.3. Termes d’exclusion IGV</w:t>
      </w:r>
    </w:p>
    <w:p>
      <w:pPr>
        <w:pStyle w:val="FirstParagraph"/>
      </w:pPr>
      <w:r>
        <w:t xml:space="preserve">Les variants dont les annotations contiennent certains termes sont</w:t>
      </w:r>
      <w:r>
        <w:t xml:space="preserve"> </w:t>
      </w:r>
      <w:r>
        <w:rPr>
          <w:b/>
          <w:bCs/>
        </w:rPr>
        <w:t xml:space="preserve">exclus</w:t>
      </w:r>
      <w:r>
        <w:t xml:space="preserve"> </w:t>
      </w:r>
      <w:r>
        <w:t xml:space="preserve">des captures IGV (configurables dans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) 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SB</w:t>
      </w:r>
      <w:r>
        <w:t xml:space="preserve"> </w:t>
      </w:r>
      <w:r>
        <w:t xml:space="preserve">— biais de brin avéré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ReMM low</w:t>
      </w:r>
      <w:r>
        <w:t xml:space="preserve"> </w:t>
      </w:r>
      <w:r>
        <w:t xml:space="preserve">— score ReMM faible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Fréquence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freq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fréq</w:t>
      </w:r>
      <w:r>
        <w:t xml:space="preserve"> </w:t>
      </w:r>
      <w:r>
        <w:t xml:space="preserve">— variant trop fréquent</w:t>
      </w:r>
    </w:p>
    <w:p>
      <w:pPr>
        <w:pStyle w:val="FirstParagraph"/>
      </w:pPr>
      <w:r>
        <w:t xml:space="preserve">La correspondance est</w:t>
      </w:r>
      <w:r>
        <w:t xml:space="preserve"> </w:t>
      </w:r>
      <w:r>
        <w:rPr>
          <w:b/>
          <w:bCs/>
        </w:rPr>
        <w:t xml:space="preserve">insensible à la casse</w:t>
      </w:r>
      <w:r>
        <w:t xml:space="preserve"> </w:t>
      </w:r>
      <w:r>
        <w:t xml:space="preserve">et fonctionne en sous-chaîne.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gv_bookmark.py-régions-dintérêt-igv"/>
    <w:p>
      <w:pPr>
        <w:pStyle w:val="Heading1"/>
      </w:pPr>
      <w:r>
        <w:t xml:space="preserve">5. igv_bookmark.py — Régions d’intérêt IGV</w:t>
      </w:r>
    </w:p>
    <w:p>
      <w:pPr>
        <w:pStyle w:val="FirstParagraph"/>
      </w:pPr>
      <w:r>
        <w:t xml:space="preserve">Injecte les variants annotés comme</w:t>
      </w:r>
      <w:r>
        <w:t xml:space="preserve"> </w:t>
      </w:r>
      <w:r>
        <w:rPr>
          <w:b/>
          <w:bCs/>
        </w:rPr>
        <w:t xml:space="preserve">régions d’intérêt (ROI)</w:t>
      </w:r>
      <w:r>
        <w:t xml:space="preserve"> </w:t>
      </w:r>
      <w:r>
        <w:t xml:space="preserve">dans IGV Desktop, permettant une navigation rapide via le</w:t>
      </w:r>
      <w:r>
        <w:t xml:space="preserve"> </w:t>
      </w:r>
      <w:r>
        <w:rPr>
          <w:rStyle w:val="VerbatimChar"/>
        </w:rPr>
        <w:t xml:space="preserve">Region Navigator</w:t>
      </w:r>
      <w:r>
        <w:t xml:space="preserve">.</w:t>
      </w:r>
    </w:p>
    <w:p>
      <w:pPr>
        <w:pStyle w:val="BodyText"/>
      </w:pPr>
      <w:r>
        <w:t xml:space="preserve">Pour chaque variant annoté :</w:t>
      </w:r>
    </w:p>
    <w:p>
      <w:pPr>
        <w:pStyle w:val="Compact"/>
        <w:numPr>
          <w:ilvl w:val="0"/>
          <w:numId w:val="1008"/>
        </w:numPr>
      </w:pPr>
      <w:r>
        <w:t xml:space="preserve">Commande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envoyée à IGV (description incluant le nom du variant et les annotations utilisateur)</w:t>
      </w:r>
    </w:p>
    <w:p>
      <w:pPr>
        <w:pStyle w:val="Compact"/>
        <w:numPr>
          <w:ilvl w:val="0"/>
          <w:numId w:val="1008"/>
        </w:numPr>
      </w:pPr>
      <w:r>
        <w:t xml:space="preserve">Export d’un</w:t>
      </w:r>
      <w:r>
        <w:t xml:space="preserve"> </w:t>
      </w:r>
      <w:r>
        <w:rPr>
          <w:b/>
          <w:bCs/>
        </w:rPr>
        <w:t xml:space="preserve">fichier BED</w:t>
      </w:r>
      <w:r>
        <w:t xml:space="preserve"> </w:t>
      </w:r>
      <w:r>
        <w:t xml:space="preserve">(</w:t>
      </w:r>
      <w:r>
        <w:rPr>
          <w:rStyle w:val="VerbatimChar"/>
        </w:rPr>
        <w:t xml:space="preserve">*.roi.bed</w:t>
      </w:r>
      <w:r>
        <w:t xml:space="preserve">) avec descriptions complètes (compatible</w:t>
      </w:r>
      <w:r>
        <w:t xml:space="preserve"> </w:t>
      </w:r>
      <w:r>
        <w:rPr>
          <w:rStyle w:val="VerbatimChar"/>
        </w:rPr>
        <w:t xml:space="preserve">Regions &gt; Import Regions</w:t>
      </w:r>
      <w:r>
        <w:t xml:space="preserve"> </w:t>
      </w:r>
      <w:r>
        <w:t xml:space="preserve">d’IGV)</w:t>
      </w:r>
    </w:p>
    <w:p>
      <w:pPr>
        <w:pStyle w:val="FirstParagraph"/>
      </w:pPr>
      <w:r>
        <w:t xml:space="preserve">Les annotations personnelles du biologiste (</w:t>
      </w:r>
      <w:r>
        <w:rPr>
          <w:rStyle w:val="VerbatimChar"/>
        </w:rPr>
        <w:t xml:space="preserve">USER_CLASS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USER_ANNOT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USER_COM</w:t>
      </w:r>
      <w:r>
        <w:t xml:space="preserve">) apparaissent dans la colonne Description du Region Navigator.</w:t>
      </w:r>
    </w:p>
    <w:p>
      <w:r>
        <w:pict>
          <v:rect style="width:0;height:1.5pt" o:hralign="center" o:hrstd="t" o:hr="t"/>
        </w:pict>
      </w:r>
    </w:p>
    <w:bookmarkEnd w:id="29"/>
    <w:bookmarkStart w:id="33" w:name="X6081bcffdf1248d689fcebe0e7b955809d07d22"/>
    <w:p>
      <w:pPr>
        <w:pStyle w:val="Heading1"/>
      </w:pPr>
      <w:r>
        <w:t xml:space="preserve">6. aggregate_annotations.py — Synthèse multi-échantillons</w:t>
      </w:r>
    </w:p>
    <w:bookmarkStart w:id="30" w:name="objectif"/>
    <w:p>
      <w:pPr>
        <w:pStyle w:val="Heading2"/>
      </w:pPr>
      <w:r>
        <w:t xml:space="preserve">6.1. Objectif</w:t>
      </w:r>
    </w:p>
    <w:p>
      <w:pPr>
        <w:pStyle w:val="FirstParagraph"/>
      </w:pPr>
      <w:r>
        <w:t xml:space="preserve">Après l’interprétation individuelle de chaque échantillon, ce script agrège les variants annotés de</w:t>
      </w:r>
      <w:r>
        <w:t xml:space="preserve"> </w:t>
      </w:r>
      <w:r>
        <w:rPr>
          <w:b/>
          <w:bCs/>
        </w:rPr>
        <w:t xml:space="preserve">tous les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*_filtered.xlsx</w:t>
      </w:r>
      <w:r>
        <w:t xml:space="preserve"> </w:t>
      </w:r>
      <w:r>
        <w:t xml:space="preserve">en un tableau de synthèse unique.</w:t>
      </w:r>
    </w:p>
    <w:bookmarkEnd w:id="30"/>
    <w:bookmarkStart w:id="31" w:name="fonctionnalités"/>
    <w:p>
      <w:pPr>
        <w:pStyle w:val="Heading2"/>
      </w:pPr>
      <w:r>
        <w:t xml:space="preserve">6.2. Fonctionnalités</w:t>
      </w:r>
    </w:p>
    <w:p>
      <w:pPr>
        <w:pStyle w:val="Compact"/>
        <w:numPr>
          <w:ilvl w:val="0"/>
          <w:numId w:val="1009"/>
        </w:numPr>
      </w:pPr>
      <w:r>
        <w:t xml:space="preserve">Parcours de toutes les feuilles (sauf</w:t>
      </w:r>
      <w:r>
        <w:t xml:space="preserve"> </w:t>
      </w:r>
      <w:r>
        <w:rPr>
          <w:rStyle w:val="VerbatimChar"/>
        </w:rPr>
        <w:t xml:space="preserve">_summary</w:t>
      </w:r>
      <w:r>
        <w:t xml:space="preserve">) de chaque classeur filtré</w:t>
      </w:r>
    </w:p>
    <w:p>
      <w:pPr>
        <w:pStyle w:val="Compact"/>
        <w:numPr>
          <w:ilvl w:val="0"/>
          <w:numId w:val="1009"/>
        </w:numPr>
      </w:pPr>
      <w:r>
        <w:t xml:space="preserve">Sélection des lignes ayant au moins un champ</w:t>
      </w:r>
      <w:r>
        <w:t xml:space="preserve"> </w:t>
      </w:r>
      <w:r>
        <w:rPr>
          <w:rStyle w:val="VerbatimChar"/>
        </w:rPr>
        <w:t xml:space="preserve">USER_CLASS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USER_ANNOT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USER_COM</w:t>
      </w:r>
      <w:r>
        <w:t xml:space="preserve"> </w:t>
      </w:r>
      <w:r>
        <w:t xml:space="preserve">non vide</w:t>
      </w:r>
    </w:p>
    <w:p>
      <w:pPr>
        <w:pStyle w:val="Compact"/>
        <w:numPr>
          <w:ilvl w:val="0"/>
          <w:numId w:val="1009"/>
        </w:numPr>
      </w:pPr>
      <w:r>
        <w:t xml:space="preserve">Ignore les cellules contenant des formules (</w:t>
      </w:r>
      <w:r>
        <w:rPr>
          <w:rStyle w:val="VerbatimChar"/>
        </w:rPr>
        <w:t xml:space="preserve">=...</w:t>
      </w:r>
      <w:r>
        <w:t xml:space="preserve">) — seules les annotations manuelles sont retenues</w:t>
      </w:r>
    </w:p>
    <w:p>
      <w:pPr>
        <w:pStyle w:val="Compact"/>
        <w:numPr>
          <w:ilvl w:val="0"/>
          <w:numId w:val="1009"/>
        </w:numPr>
      </w:pPr>
      <w:r>
        <w:t xml:space="preserve">Dédoublonnage par position génomique (</w:t>
      </w:r>
      <w:r>
        <w:rPr>
          <w:rStyle w:val="VerbatimChar"/>
        </w:rPr>
        <w:t xml:space="preserve">CHR + POS + REF + ALT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Ajout de la colonne</w:t>
      </w:r>
      <w:r>
        <w:t xml:space="preserve"> </w:t>
      </w:r>
      <w:r>
        <w:rPr>
          <w:rStyle w:val="VerbatimChar"/>
        </w:rPr>
        <w:t xml:space="preserve">SAMPLE</w:t>
      </w:r>
      <w:r>
        <w:t xml:space="preserve"> </w:t>
      </w:r>
      <w:r>
        <w:t xml:space="preserve">(ID échantillon) et</w:t>
      </w:r>
      <w:r>
        <w:t xml:space="preserve"> </w:t>
      </w:r>
      <w:r>
        <w:rPr>
          <w:rStyle w:val="VerbatimChar"/>
        </w:rPr>
        <w:t xml:space="preserve">SOURCE_SHEET</w:t>
      </w:r>
      <w:r>
        <w:t xml:space="preserve"> </w:t>
      </w:r>
      <w:r>
        <w:t xml:space="preserve">(onglets d’origine)</w:t>
      </w:r>
    </w:p>
    <w:p>
      <w:pPr>
        <w:pStyle w:val="Compact"/>
        <w:numPr>
          <w:ilvl w:val="0"/>
          <w:numId w:val="1009"/>
        </w:numPr>
      </w:pPr>
      <w:r>
        <w:t xml:space="preserve">Écriture d’une feuille</w:t>
      </w:r>
      <w:r>
        <w:t xml:space="preserve"> </w:t>
      </w:r>
      <w:r>
        <w:rPr>
          <w:rStyle w:val="VerbatimChar"/>
        </w:rPr>
        <w:t xml:space="preserve">_annotations</w:t>
      </w:r>
      <w:r>
        <w:t xml:space="preserve"> </w:t>
      </w:r>
      <w:r>
        <w:t xml:space="preserve">dans chaque</w:t>
      </w:r>
      <w:r>
        <w:t xml:space="preserve"> </w:t>
      </w:r>
      <w:r>
        <w:rPr>
          <w:rStyle w:val="VerbatimChar"/>
        </w:rPr>
        <w:t xml:space="preserve">*_filtered.xlsx</w:t>
      </w:r>
      <w:r>
        <w:t xml:space="preserve"> </w:t>
      </w:r>
      <w:r>
        <w:t xml:space="preserve">(résumé local)</w:t>
      </w:r>
    </w:p>
    <w:p>
      <w:pPr>
        <w:pStyle w:val="Compact"/>
        <w:numPr>
          <w:ilvl w:val="0"/>
          <w:numId w:val="1009"/>
        </w:numPr>
      </w:pPr>
      <w:r>
        <w:t xml:space="preserve">Écriture d’un fichier de synthèse global</w:t>
      </w:r>
      <w:r>
        <w:t xml:space="preserve"> </w:t>
      </w:r>
      <w:r>
        <w:rPr>
          <w:rStyle w:val="VerbatimChar"/>
        </w:rPr>
        <w:t xml:space="preserve">TSC_063_annotations.xlsx</w:t>
      </w:r>
    </w:p>
    <w:bookmarkEnd w:id="31"/>
    <w:bookmarkStart w:id="32" w:name="colonnes-de-sortie-prioritaires"/>
    <w:p>
      <w:pPr>
        <w:pStyle w:val="Heading2"/>
      </w:pPr>
      <w:r>
        <w:t xml:space="preserve">6.3. Colonnes de sortie prioritaires</w:t>
      </w:r>
    </w:p>
    <w:p>
      <w:pPr>
        <w:pStyle w:val="FirstParagraph"/>
      </w:pPr>
      <w:r>
        <w:t xml:space="preserve">Le tableau de synthèse ordonne les colonnes par importance clinique : identification du variant (SAMPLE, SYMBOL, HGVSc/p), annotations utilisateur, métriques techniques (AF, DP, SB, CALLNB), bases de données (ClinVar, LOVD), scores prédictifs (CADD, REVEL, SpliceAI, SPiP), fréquences populationnelles (gnomAD).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onfiguration-centralisée-config.yaml"/>
    <w:p>
      <w:pPr>
        <w:pStyle w:val="Heading1"/>
      </w:pPr>
      <w:r>
        <w:t xml:space="preserve">7. Configuration centralisée (config.yaml)</w:t>
      </w:r>
    </w:p>
    <w:p>
      <w:pPr>
        <w:pStyle w:val="FirstParagraph"/>
      </w:pPr>
      <w:r>
        <w:t xml:space="preserve">L’ensemble du pipeline est piloté par un</w:t>
      </w:r>
      <w:r>
        <w:t xml:space="preserve"> </w:t>
      </w:r>
      <w:r>
        <w:rPr>
          <w:b/>
          <w:bCs/>
        </w:rPr>
        <w:t xml:space="preserve">fichier YAML unique</w:t>
      </w:r>
      <w:r>
        <w:t xml:space="preserve">. Toute modification de seuils, poids ou comportement se fait sans toucher au code Python.</w:t>
      </w:r>
    </w:p>
    <w:bookmarkStart w:id="34" w:name="sections-du-fichier-de-configuration"/>
    <w:p>
      <w:pPr>
        <w:pStyle w:val="Heading2"/>
      </w:pPr>
      <w:r>
        <w:t xml:space="preserve">Sections du fichier de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genes</w:t>
            </w:r>
          </w:p>
        </w:tc>
        <w:tc>
          <w:tcPr/>
          <w:p>
            <w:pPr>
              <w:pStyle w:val="Compact"/>
            </w:pPr>
            <w:r>
              <w:t xml:space="preserve">Gènes cibles du filtrage principal (</w:t>
            </w:r>
            <w:r>
              <w:rPr>
                <w:rStyle w:val="VerbatimChar"/>
              </w:rPr>
              <w:t xml:space="preserve">[TSC1, TSC2]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exclusions</w:t>
            </w:r>
          </w:p>
        </w:tc>
        <w:tc>
          <w:tcPr/>
          <w:p>
            <w:pPr>
              <w:pStyle w:val="Compact"/>
            </w:pPr>
            <w:r>
              <w:t xml:space="preserve">Seuils des 7 pré-exclusions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sheets</w:t>
            </w:r>
          </w:p>
        </w:tc>
        <w:tc>
          <w:tcPr/>
          <w:p>
            <w:pPr>
              <w:pStyle w:val="Compact"/>
            </w:pPr>
            <w:r>
              <w:t xml:space="preserve">Activation et paramétrage de chaque onglet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Poids et seuils du score de qualité (axes technique + biologique)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igv_exclusion_terms</w:t>
            </w:r>
          </w:p>
        </w:tc>
        <w:tc>
          <w:tcPr/>
          <w:p>
            <w:pPr>
              <w:pStyle w:val="Compact"/>
            </w:pPr>
            <w:r>
              <w:t xml:space="preserve">Termes excluant un variant des captures/bookmarks IGV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output_columns</w:t>
            </w:r>
          </w:p>
        </w:tc>
        <w:tc>
          <w:tcPr/>
          <w:p>
            <w:pPr>
              <w:pStyle w:val="Compact"/>
            </w:pPr>
            <w:r>
              <w:t xml:space="preserve">Ordre et sélection des colonnes dans le classeur de sortie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suite-de-tests"/>
    <w:p>
      <w:pPr>
        <w:pStyle w:val="Heading1"/>
      </w:pPr>
      <w:r>
        <w:t xml:space="preserve">8. Suite de tests</w:t>
      </w:r>
    </w:p>
    <w:p>
      <w:pPr>
        <w:pStyle w:val="FirstParagraph"/>
      </w:pPr>
      <w:r>
        <w:t xml:space="preserve">Le pipeline est couvert par</w:t>
      </w:r>
      <w:r>
        <w:t xml:space="preserve"> </w:t>
      </w:r>
      <w:r>
        <w:rPr>
          <w:b/>
          <w:bCs/>
        </w:rPr>
        <w:t xml:space="preserve">55 tests automatisés</w:t>
      </w:r>
      <w:r>
        <w:t xml:space="preserve"> </w:t>
      </w:r>
      <w:r>
        <w:t xml:space="preserve">(pytest)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98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Couverture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test_load.py</w:t>
            </w:r>
          </w:p>
        </w:tc>
        <w:tc>
          <w:tcPr/>
          <w:p>
            <w:pPr>
              <w:pStyle w:val="Compact"/>
            </w:pPr>
            <w:r>
              <w:t xml:space="preserve">Chargement, préfixe NiourK, dédoublonnage REF_TRANS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test_exclusions.py</w:t>
            </w:r>
          </w:p>
        </w:tc>
        <w:tc>
          <w:tcPr/>
          <w:p>
            <w:pPr>
              <w:pStyle w:val="Compact"/>
            </w:pPr>
            <w:r>
              <w:t xml:space="preserve">Chaque filtre d’exclusion individuellement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test_tiers.py</w:t>
            </w:r>
          </w:p>
        </w:tc>
        <w:tc>
          <w:tcPr/>
          <w:p>
            <w:pPr>
              <w:pStyle w:val="Compact"/>
            </w:pPr>
            <w:r>
              <w:t xml:space="preserve">Classification en onglets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test_cli.py</w:t>
            </w:r>
          </w:p>
        </w:tc>
        <w:tc>
          <w:tcPr/>
          <w:p>
            <w:pPr>
              <w:pStyle w:val="Compact"/>
            </w:pPr>
            <w:r>
              <w:t xml:space="preserve">Intégration end-to-end, scoring, gradient couleur, doublons, formules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test_igv_capture.py</w:t>
            </w:r>
          </w:p>
        </w:tc>
        <w:tc>
          <w:tcPr/>
          <w:p>
            <w:pPr>
              <w:pStyle w:val="Compact"/>
            </w:pPr>
            <w:r>
              <w:t xml:space="preserve">Chargement variants annotés, exclusion terms, captures IGV, bookmarks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Les tests utilisent des</w:t>
      </w:r>
      <w:r>
        <w:t xml:space="preserve"> </w:t>
      </w:r>
      <w:r>
        <w:rPr>
          <w:b/>
          <w:bCs/>
        </w:rPr>
        <w:t xml:space="preserve">fixtures synthétiques</w:t>
      </w:r>
      <w:r>
        <w:t xml:space="preserve"> </w:t>
      </w:r>
      <w:r>
        <w:t xml:space="preserve">(XLSX générés en mémoire) et des mocks pour IGV, garantissant une exécution rapide et reproductible sans données réelles.</w:t>
      </w:r>
    </w:p>
    <w:p>
      <w:r>
        <w:pict>
          <v:rect style="width:0;height:1.5pt" o:hralign="center" o:hrstd="t" o:hr="t"/>
        </w:pict>
      </w:r>
    </w:p>
    <w:bookmarkEnd w:id="36"/>
    <w:bookmarkStart w:id="37" w:name="résumé-des-fonctionnalités-clés"/>
    <w:p>
      <w:pPr>
        <w:pStyle w:val="Heading1"/>
      </w:pPr>
      <w:r>
        <w:t xml:space="preserve">9. Résumé des fonctionnalités clés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Filtrage rigoureux</w:t>
      </w:r>
      <w:r>
        <w:t xml:space="preserve"> </w:t>
      </w:r>
      <w:r>
        <w:t xml:space="preserve">— 7 niveaux d’exclusion séquentielle, tous configurables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12 onglets d’analyse</w:t>
      </w:r>
      <w:r>
        <w:t xml:space="preserve"> </w:t>
      </w:r>
      <w:r>
        <w:t xml:space="preserve">— classification multi-critères couvrant impact, ClinVar, fréquence, mosaïcisme, épissage, consensus callers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Score de qualité bi-axial</w:t>
      </w:r>
      <w:r>
        <w:t xml:space="preserve"> </w:t>
      </w:r>
      <w:r>
        <w:t xml:space="preserve">— gradient visuel rouge→vert avec commentaire détaillé au survol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Détection de doublons inter-onglets</w:t>
      </w:r>
      <w:r>
        <w:t xml:space="preserve"> </w:t>
      </w:r>
      <w:r>
        <w:t xml:space="preserve">— signalisation visuelle et propagation automatique des annotations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Formules dynamiques</w:t>
      </w:r>
      <w:r>
        <w:t xml:space="preserve"> </w:t>
      </w:r>
      <w:r>
        <w:t xml:space="preserve">— agrégation Excel temps réel des annotations entre onglets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Captures IGV automatisées</w:t>
      </w:r>
      <w:r>
        <w:t xml:space="preserve"> </w:t>
      </w:r>
      <w:r>
        <w:t xml:space="preserve">— 3 vues par variant (strand, soft-clip, squished), pilotage TCP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Bookmarks IGV</w:t>
      </w:r>
      <w:r>
        <w:t xml:space="preserve"> </w:t>
      </w:r>
      <w:r>
        <w:t xml:space="preserve">— navigation rapide via Region Navigator avec annotations personnelles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Détection gènes voisins</w:t>
      </w:r>
      <w:r>
        <w:t xml:space="preserve"> </w:t>
      </w:r>
      <w:r>
        <w:t xml:space="preserve">— signalisation des</w:t>
      </w:r>
      <w:r>
        <w:t xml:space="preserve"> </w:t>
      </w:r>
      <w:r>
        <w:rPr>
          <w:rStyle w:val="VerbatimChar"/>
        </w:rPr>
        <w:t xml:space="preserve">downstream_gene_variant</w:t>
      </w:r>
      <w:r>
        <w:t xml:space="preserve"> </w:t>
      </w:r>
      <w:r>
        <w:t xml:space="preserve">potentiellement dans PKD1/RHEB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Agrégation multi-échantillons</w:t>
      </w:r>
      <w:r>
        <w:t xml:space="preserve"> </w:t>
      </w:r>
      <w:r>
        <w:t xml:space="preserve">— synthèse globale des variants annotés de la cohorte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Configuration YAML unique</w:t>
      </w:r>
      <w:r>
        <w:t xml:space="preserve"> </w:t>
      </w:r>
      <w:r>
        <w:t xml:space="preserve">— zéro modification de code pour adapter les seuils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 de filtrage et analyse des variants NGS — PRELUDE-TSC</dc:title>
  <dc:creator>PRELUDE-TSC / CHU Angers</dc:creator>
  <dc:language>fr</dc:language>
  <cp:keywords/>
  <dcterms:created xsi:type="dcterms:W3CDTF">2026-03-25T11:17:08Z</dcterms:created>
  <dcterms:modified xsi:type="dcterms:W3CDTF">2026-03-25T11:17:08Z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Mars 2026</vt:lpwstr>
  </property>
  <property fmtid="{D5CDD505-2E9C-101B-9397-08002B2CF9AE}" pid="3" name="subtitle">
    <vt:lpwstr>Documentation technique — vcf_filter.py et outils associés</vt:lpwstr>
  </property>
</Properties>
</file>