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Notice d’utilisation — Pipeline de filtrage NGS PRELUDE-TSC</w:t>
      </w:r>
    </w:p>
    <w:p>
      <w:pPr>
        <w:pStyle w:val="Subtitle"/>
      </w:pPr>
      <w:r>
        <w:t xml:space="preserve">Installation, configuration et exploitation sur serveur Ubuntu</w:t>
      </w:r>
    </w:p>
    <w:p>
      <w:pPr>
        <w:pStyle w:val="Author"/>
      </w:pPr>
      <w:r>
        <w:t xml:space="preserve">PRELUDE-TSC / CHU Angers</w:t>
      </w:r>
    </w:p>
    <w:p>
      <w:pPr>
        <w:pStyle w:val="Date"/>
      </w:pPr>
      <w:r>
        <w:t xml:space="preserve">Mars 2026</w:t>
      </w:r>
    </w:p>
    <w:bookmarkStart w:id="9" w:name="pré-requis"/>
    <w:p>
      <w:pPr>
        <w:pStyle w:val="Heading1"/>
      </w:pPr>
      <w:r>
        <w:t xml:space="preserve">1. Pré-requis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727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Version minimum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</w:t>
            </w:r>
          </w:p>
        </w:tc>
        <w:tc>
          <w:tcPr/>
          <w:p>
            <w:pPr>
              <w:pStyle w:val="Compact"/>
            </w:pPr>
            <w:r>
              <w:t xml:space="preserve">20.04 LTS</w:t>
            </w:r>
          </w:p>
        </w:tc>
        <w:tc>
          <w:tcPr/>
          <w:p>
            <w:pPr>
              <w:pStyle w:val="Compact"/>
            </w:pPr>
            <w:r>
              <w:t xml:space="preserve">Testé sur 22.04 et 24.04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micromamba</w:t>
            </w:r>
          </w:p>
        </w:tc>
        <w:tc>
          <w:tcPr/>
          <w:p>
            <w:pPr>
              <w:pStyle w:val="Compact"/>
            </w:pPr>
            <w:r>
              <w:t xml:space="preserve">1.5+</w:t>
            </w:r>
          </w:p>
        </w:tc>
        <w:tc>
          <w:tcPr/>
          <w:p>
            <w:pPr>
              <w:pStyle w:val="Compact"/>
            </w:pPr>
            <w:r>
              <w:t xml:space="preserve">Installé automatiquement par</w:t>
            </w:r>
            <w:r>
              <w:t xml:space="preserve"> </w:t>
            </w:r>
            <w:r>
              <w:rPr>
                <w:rStyle w:val="VerbatimChar"/>
              </w:rPr>
              <w:t xml:space="preserve">install.sh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Espace disque</w:t>
            </w:r>
          </w:p>
        </w:tc>
        <w:tc>
          <w:tcPr/>
          <w:p>
            <w:pPr>
              <w:pStyle w:val="Compact"/>
            </w:pPr>
            <w:r>
              <w:t xml:space="preserve">~500 Mo</w:t>
            </w:r>
          </w:p>
        </w:tc>
        <w:tc>
          <w:tcPr/>
          <w:p>
            <w:pPr>
              <w:pStyle w:val="Compact"/>
            </w:pPr>
            <w:r>
              <w:t xml:space="preserve">Environnement conda + données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Accès réseau</w:t>
            </w:r>
          </w:p>
        </w:tc>
        <w:tc>
          <w:tcPr/>
          <w:p>
            <w:pPr>
              <w:pStyle w:val="Compact"/>
            </w:pPr>
            <w:r>
              <w:t xml:space="preserve">Au premier lancement</w:t>
            </w:r>
          </w:p>
        </w:tc>
        <w:tc>
          <w:tcPr/>
          <w:p>
            <w:pPr>
              <w:pStyle w:val="Compact"/>
            </w:pPr>
            <w:r>
              <w:t xml:space="preserve">Téléchargement des paquets conda-forge</w:t>
            </w:r>
          </w:p>
        </w:tc>
      </w:tr>
    </w:tbl>
    <w:p>
      <w:pPr>
        <w:pStyle w:val="BodyText"/>
      </w:pPr>
      <w:r>
        <w:t xml:space="preserve">Le pipeline ne nécessite</w:t>
      </w:r>
      <w:r>
        <w:t xml:space="preserve"> </w:t>
      </w:r>
      <w:r>
        <w:rPr>
          <w:b/>
          <w:bCs/>
        </w:rPr>
        <w:t xml:space="preserve">aucun droit root</w:t>
      </w:r>
      <w:r>
        <w:t xml:space="preserve"> </w:t>
      </w:r>
      <w:r>
        <w:t xml:space="preserve">— tout s’installe dans l’espace utilisateur.</w:t>
      </w:r>
    </w:p>
    <w:bookmarkEnd w:id="9"/>
    <w:bookmarkStart w:id="14" w:name="installation"/>
    <w:p>
      <w:pPr>
        <w:pStyle w:val="Heading1"/>
      </w:pPr>
      <w:r>
        <w:t xml:space="preserve">2. Installation</w:t>
      </w:r>
    </w:p>
    <w:bookmarkStart w:id="10" w:name="récupération-du-code"/>
    <w:p>
      <w:pPr>
        <w:pStyle w:val="Heading2"/>
      </w:pPr>
      <w:r>
        <w:t xml:space="preserve">2.1. Récupération du code</w:t>
      </w:r>
    </w:p>
    <w:p>
      <w:pPr>
        <w:pStyle w:val="SourceCode"/>
      </w:pPr>
      <w:r>
        <w:rPr>
          <w:rStyle w:val="CommentTok"/>
        </w:rPr>
        <w:t xml:space="preserve"># Depuis le dépôt Git (recommandé)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url_du_depot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07_ngs_reanalysis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07_ngs_reanalysis</w:t>
      </w:r>
      <w:r>
        <w:br/>
      </w:r>
      <w:r>
        <w:br/>
      </w:r>
      <w:r>
        <w:rPr>
          <w:rStyle w:val="CommentTok"/>
        </w:rPr>
        <w:t xml:space="preserve"># Ou par copie directe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user@machine:~/projets/PRELUDE-TSC/07_ngs_reanalysis 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07_ngs_reanalysis</w:t>
      </w:r>
    </w:p>
    <w:bookmarkEnd w:id="10"/>
    <w:bookmarkStart w:id="11" w:name="installation-automatique"/>
    <w:p>
      <w:pPr>
        <w:pStyle w:val="Heading2"/>
      </w:pPr>
      <w:r>
        <w:t xml:space="preserve">2.2. Installation automatique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Le script :</w:t>
      </w:r>
    </w:p>
    <w:p>
      <w:pPr>
        <w:pStyle w:val="Compact"/>
        <w:numPr>
          <w:ilvl w:val="0"/>
          <w:numId w:val="1001"/>
        </w:numPr>
      </w:pPr>
      <w:r>
        <w:t xml:space="preserve">Installe</w:t>
      </w:r>
      <w:r>
        <w:t xml:space="preserve"> </w:t>
      </w:r>
      <w:r>
        <w:rPr>
          <w:b/>
          <w:bCs/>
        </w:rPr>
        <w:t xml:space="preserve">micromamba</w:t>
      </w:r>
      <w:r>
        <w:t xml:space="preserve"> </w:t>
      </w:r>
      <w:r>
        <w:t xml:space="preserve">si absent (dans</w:t>
      </w:r>
      <w:r>
        <w:t xml:space="preserve"> </w:t>
      </w:r>
      <w:r>
        <w:rPr>
          <w:rStyle w:val="VerbatimChar"/>
        </w:rPr>
        <w:t xml:space="preserve">~/micromamba</w:t>
      </w:r>
      <w:r>
        <w:t xml:space="preserve"> </w:t>
      </w:r>
      <w:r>
        <w:t xml:space="preserve">par défaut)</w:t>
      </w:r>
    </w:p>
    <w:p>
      <w:pPr>
        <w:pStyle w:val="Compact"/>
        <w:numPr>
          <w:ilvl w:val="0"/>
          <w:numId w:val="1001"/>
        </w:numPr>
      </w:pPr>
      <w:r>
        <w:t xml:space="preserve">Crée l’environnement</w:t>
      </w:r>
      <w:r>
        <w:t xml:space="preserve"> </w:t>
      </w:r>
      <w:r>
        <w:rPr>
          <w:rStyle w:val="VerbatimChar"/>
        </w:rPr>
        <w:t xml:space="preserve">ngs_reanalysis</w:t>
      </w:r>
      <w:r>
        <w:t xml:space="preserve"> </w:t>
      </w:r>
      <w:r>
        <w:t xml:space="preserve">(Python 3.11, pandas, openpyxl, PyYAML, requests, pytest)</w:t>
      </w:r>
    </w:p>
    <w:p>
      <w:pPr>
        <w:pStyle w:val="Compact"/>
        <w:numPr>
          <w:ilvl w:val="0"/>
          <w:numId w:val="1001"/>
        </w:numPr>
      </w:pPr>
      <w:r>
        <w:t xml:space="preserve">Vérifie que toutes les dépendances sont opérationnelles</w:t>
      </w:r>
    </w:p>
    <w:p>
      <w:pPr>
        <w:pStyle w:val="Compact"/>
        <w:numPr>
          <w:ilvl w:val="0"/>
          <w:numId w:val="1001"/>
        </w:numPr>
      </w:pPr>
      <w:r>
        <w:t xml:space="preserve">Lance la suite de tests (56 tests)</w:t>
      </w:r>
    </w:p>
    <w:p>
      <w:pPr>
        <w:pStyle w:val="FirstParagraph"/>
      </w:pPr>
      <w:r>
        <w:t xml:space="preserve">Pour installer micromamba dans un chemin spécifique 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install.sh /opt/micromamba</w:t>
      </w:r>
    </w:p>
    <w:bookmarkEnd w:id="11"/>
    <w:bookmarkStart w:id="12" w:name="vérification-manuelle"/>
    <w:p>
      <w:pPr>
        <w:pStyle w:val="Heading2"/>
      </w:pPr>
      <w:r>
        <w:t xml:space="preserve">2.3. Vérification manuelle</w:t>
      </w:r>
    </w:p>
    <w:p>
      <w:pPr>
        <w:pStyle w:val="SourceCode"/>
      </w:pPr>
      <w:r>
        <w:rPr>
          <w:rStyle w:val="ExtensionTok"/>
        </w:rPr>
        <w:t xml:space="preserve">micromamba</w:t>
      </w:r>
      <w:r>
        <w:rPr>
          <w:rStyle w:val="NormalTok"/>
        </w:rPr>
        <w:t xml:space="preserve"> activate ngs_reanalysis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pandas, openpyxl, yaml, requests; print('OK')"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-q</w:t>
      </w:r>
    </w:p>
    <w:bookmarkEnd w:id="12"/>
    <w:bookmarkStart w:id="13" w:name="structure-des-fichiers"/>
    <w:p>
      <w:pPr>
        <w:pStyle w:val="Heading2"/>
      </w:pPr>
      <w:r>
        <w:t xml:space="preserve">2.4. Structure des fichiers</w:t>
      </w:r>
    </w:p>
    <w:p>
      <w:pPr>
        <w:pStyle w:val="SourceCode"/>
      </w:pPr>
      <w:r>
        <w:rPr>
          <w:rStyle w:val="VerbatimChar"/>
        </w:rPr>
        <w:t xml:space="preserve">07_ngs_reanalysis/</w:t>
      </w:r>
      <w:r>
        <w:br/>
      </w:r>
      <w:r>
        <w:rPr>
          <w:rStyle w:val="VerbatimChar"/>
        </w:rPr>
        <w:t xml:space="preserve">├── vcf_filter.py              # Script principal de filtrage</w:t>
      </w:r>
      <w:r>
        <w:br/>
      </w:r>
      <w:r>
        <w:rPr>
          <w:rStyle w:val="VerbatimChar"/>
        </w:rPr>
        <w:t xml:space="preserve">├── aggregate_annotations.py   # Agrégation multi-échantillons</w:t>
      </w:r>
      <w:r>
        <w:br/>
      </w:r>
      <w:r>
        <w:rPr>
          <w:rStyle w:val="VerbatimChar"/>
        </w:rPr>
        <w:t xml:space="preserve">├── igv_capture.py             # Captures IGV automatisées</w:t>
      </w:r>
      <w:r>
        <w:br/>
      </w:r>
      <w:r>
        <w:rPr>
          <w:rStyle w:val="VerbatimChar"/>
        </w:rPr>
        <w:t xml:space="preserve">├── igv_bookmark.py            # Bookmarks IGV (régions d'intérêt)</w:t>
      </w:r>
      <w:r>
        <w:br/>
      </w:r>
      <w:r>
        <w:rPr>
          <w:rStyle w:val="VerbatimChar"/>
        </w:rPr>
        <w:t xml:space="preserve">├── config.yaml                # Configuration centralisée</w:t>
      </w:r>
      <w:r>
        <w:br/>
      </w:r>
      <w:r>
        <w:rPr>
          <w:rStyle w:val="VerbatimChar"/>
        </w:rPr>
        <w:t xml:space="preserve">├── environment.yml            # Définition de l'environnement conda</w:t>
      </w:r>
      <w:r>
        <w:br/>
      </w:r>
      <w:r>
        <w:rPr>
          <w:rStyle w:val="VerbatimChar"/>
        </w:rPr>
        <w:t xml:space="preserve">├── install.sh                 # Script d'installation</w:t>
      </w:r>
      <w:r>
        <w:br/>
      </w:r>
      <w:r>
        <w:rPr>
          <w:rStyle w:val="VerbatimChar"/>
        </w:rPr>
        <w:t xml:space="preserve">├── run.sh                     # Script de lancement simplifié</w:t>
      </w:r>
      <w:r>
        <w:br/>
      </w:r>
      <w:r>
        <w:rPr>
          <w:rStyle w:val="VerbatimChar"/>
        </w:rPr>
        <w:t xml:space="preserve">├── tests/                     # Suite de tests (56 tests)</w:t>
      </w:r>
      <w:r>
        <w:br/>
      </w:r>
      <w:r>
        <w:rPr>
          <w:rStyle w:val="VerbatimChar"/>
        </w:rPr>
        <w:t xml:space="preserve">│   ├── conftest.py</w:t>
      </w:r>
      <w:r>
        <w:br/>
      </w:r>
      <w:r>
        <w:rPr>
          <w:rStyle w:val="VerbatimChar"/>
        </w:rPr>
        <w:t xml:space="preserve">│   ├── test_cli.py</w:t>
      </w:r>
      <w:r>
        <w:br/>
      </w:r>
      <w:r>
        <w:rPr>
          <w:rStyle w:val="VerbatimChar"/>
        </w:rPr>
        <w:t xml:space="preserve">│   ├── test_exclusions.py</w:t>
      </w:r>
      <w:r>
        <w:br/>
      </w:r>
      <w:r>
        <w:rPr>
          <w:rStyle w:val="VerbatimChar"/>
        </w:rPr>
        <w:t xml:space="preserve">│   ├── test_load.py</w:t>
      </w:r>
      <w:r>
        <w:br/>
      </w:r>
      <w:r>
        <w:rPr>
          <w:rStyle w:val="VerbatimChar"/>
        </w:rPr>
        <w:t xml:space="preserve">│   ├── test_tiers.py</w:t>
      </w:r>
      <w:r>
        <w:br/>
      </w:r>
      <w:r>
        <w:rPr>
          <w:rStyle w:val="VerbatimChar"/>
        </w:rPr>
        <w:t xml:space="preserve">│   └── test_igv_capture.py</w:t>
      </w:r>
      <w:r>
        <w:br/>
      </w:r>
      <w:r>
        <w:rPr>
          <w:rStyle w:val="VerbatimChar"/>
        </w:rPr>
        <w:t xml:space="preserve">└── docs/                      # Documentation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utilisation"/>
    <w:p>
      <w:pPr>
        <w:pStyle w:val="Heading1"/>
      </w:pPr>
      <w:r>
        <w:t xml:space="preserve">3. Utilisation</w:t>
      </w:r>
    </w:p>
    <w:bookmarkStart w:id="15" w:name="X6c2066dfe1b4feeb6e1aff4790a469a94f90a89"/>
    <w:p>
      <w:pPr>
        <w:pStyle w:val="Heading2"/>
      </w:pPr>
      <w:r>
        <w:t xml:space="preserve">3.1. Filtrage d’un échantillon (commande principale)</w:t>
      </w:r>
    </w:p>
    <w:p>
      <w:pPr>
        <w:pStyle w:val="SourceCode"/>
      </w:pPr>
      <w:r>
        <w:rPr>
          <w:rStyle w:val="CommentTok"/>
        </w:rPr>
        <w:t xml:space="preserve"># Avec le wrapper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run.sh /chemin/vers/fichier_niourk.xlsx</w:t>
      </w:r>
      <w:r>
        <w:br/>
      </w:r>
      <w:r>
        <w:br/>
      </w:r>
      <w:r>
        <w:rPr>
          <w:rStyle w:val="CommentTok"/>
        </w:rPr>
        <w:t xml:space="preserve"># Ou directement</w:t>
      </w:r>
      <w:r>
        <w:br/>
      </w:r>
      <w:r>
        <w:rPr>
          <w:rStyle w:val="ExtensionTok"/>
        </w:rPr>
        <w:t xml:space="preserve">micromamba</w:t>
      </w:r>
      <w:r>
        <w:rPr>
          <w:rStyle w:val="NormalTok"/>
        </w:rPr>
        <w:t xml:space="preserve"> activate ngs_reanalysis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vcf_filter.py /chemin/vers/fichier_niourk.xlsx</w:t>
      </w:r>
    </w:p>
    <w:p>
      <w:pPr>
        <w:pStyle w:val="FirstParagraph"/>
      </w:pPr>
      <w:r>
        <w:rPr>
          <w:b/>
          <w:bCs/>
        </w:rPr>
        <w:t xml:space="preserve">Entrée</w:t>
      </w:r>
      <w:r>
        <w:t xml:space="preserve"> </w:t>
      </w:r>
      <w:r>
        <w:t xml:space="preserve">: fichier XLSX NiourK contenant la feuille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 </w:t>
      </w:r>
      <w:r>
        <w:t xml:space="preserve">(sortie du pipeline NiourK v2.5).</w:t>
      </w:r>
    </w:p>
    <w:p>
      <w:pPr>
        <w:pStyle w:val="BodyText"/>
      </w:pPr>
      <w:r>
        <w:rPr>
          <w:b/>
          <w:bCs/>
        </w:rPr>
        <w:t xml:space="preserve">Sortie</w:t>
      </w:r>
      <w:r>
        <w:t xml:space="preserve"> </w:t>
      </w:r>
      <w:r>
        <w:t xml:space="preserve">: fichier</w:t>
      </w:r>
      <w:r>
        <w:t xml:space="preserve"> </w:t>
      </w:r>
      <w:r>
        <w:rPr>
          <w:rStyle w:val="VerbatimChar"/>
        </w:rPr>
        <w:t xml:space="preserve">*_filtered.xlsx</w:t>
      </w:r>
      <w:r>
        <w:t xml:space="preserve"> </w:t>
      </w:r>
      <w:r>
        <w:t xml:space="preserve">dans le même répertoire, contenant 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_summary</w:t>
      </w:r>
      <w:r>
        <w:t xml:space="preserve"> </w:t>
      </w:r>
      <w:r>
        <w:t xml:space="preserve">: rapport de pré-filtrage, hash de configuration, date</w:t>
      </w:r>
    </w:p>
    <w:p>
      <w:pPr>
        <w:pStyle w:val="Compact"/>
        <w:numPr>
          <w:ilvl w:val="0"/>
          <w:numId w:val="1002"/>
        </w:numPr>
      </w:pPr>
      <w:r>
        <w:t xml:space="preserve">Jusqu’à</w:t>
      </w:r>
      <w:r>
        <w:t xml:space="preserve"> </w:t>
      </w:r>
      <w:r>
        <w:rPr>
          <w:b/>
          <w:bCs/>
        </w:rPr>
        <w:t xml:space="preserve">12 onglets</w:t>
      </w:r>
      <w:r>
        <w:t xml:space="preserve"> </w:t>
      </w:r>
      <w:r>
        <w:t xml:space="preserve">d’analyse (HIGH_IMPACT, CLINVAR_P_LP, MOSAIC, etc.)</w:t>
      </w:r>
    </w:p>
    <w:p>
      <w:pPr>
        <w:pStyle w:val="Compact"/>
        <w:numPr>
          <w:ilvl w:val="0"/>
          <w:numId w:val="1002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RHEB_PKD1</w:t>
      </w:r>
      <w:r>
        <w:t xml:space="preserve"> </w:t>
      </w:r>
      <w:r>
        <w:t xml:space="preserve">(gènes voisins)</w:t>
      </w:r>
    </w:p>
    <w:p>
      <w:pPr>
        <w:pStyle w:val="Compact"/>
        <w:numPr>
          <w:ilvl w:val="0"/>
          <w:numId w:val="1002"/>
        </w:numPr>
      </w:pPr>
      <w:r>
        <w:t xml:space="preserve">Coloration conditionnelle sur toutes les colonnes clés</w:t>
      </w:r>
    </w:p>
    <w:p>
      <w:pPr>
        <w:pStyle w:val="Compact"/>
        <w:numPr>
          <w:ilvl w:val="0"/>
          <w:numId w:val="1002"/>
        </w:numPr>
      </w:pPr>
      <w:r>
        <w:t xml:space="preserve">Score de qualité (gradient rouge→vert) sur la cellule Import DefGen</w:t>
      </w:r>
    </w:p>
    <w:p>
      <w:pPr>
        <w:pStyle w:val="Compact"/>
        <w:numPr>
          <w:ilvl w:val="0"/>
          <w:numId w:val="1002"/>
        </w:numPr>
      </w:pPr>
      <w:r>
        <w:t xml:space="preserve">Formules dynamiques USER_COM pour les doublons inter-onglets</w:t>
      </w:r>
    </w:p>
    <w:bookmarkEnd w:id="15"/>
    <w:bookmarkStart w:id="16" w:name="mode-beta-sans-pré-exclusions"/>
    <w:p>
      <w:pPr>
        <w:pStyle w:val="Heading2"/>
      </w:pPr>
      <w:r>
        <w:t xml:space="preserve">3.2. Mode beta (sans pré-exclusions)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run.sh /chemin/vers/fichier.xlsx </w:t>
      </w:r>
      <w:r>
        <w:rPr>
          <w:rStyle w:val="AttributeTok"/>
        </w:rPr>
        <w:t xml:space="preserve">--beta</w:t>
      </w:r>
    </w:p>
    <w:p>
      <w:pPr>
        <w:pStyle w:val="FirstParagraph"/>
      </w:pPr>
      <w:r>
        <w:t xml:space="preserve">Désactive les 6 filtres d’exclusion — tous les variants TSC1/TSC2 sont classés directement dans les onglets. Utile pour vérifier qu’aucun variant n’est exclu à tort.</w:t>
      </w:r>
    </w:p>
    <w:bookmarkEnd w:id="16"/>
    <w:bookmarkStart w:id="17" w:name="agrégation-multi-échantillons"/>
    <w:p>
      <w:pPr>
        <w:pStyle w:val="Heading2"/>
      </w:pPr>
      <w:r>
        <w:t xml:space="preserve">3.3. Agrégation multi-échantillons</w:t>
      </w:r>
    </w:p>
    <w:p>
      <w:pPr>
        <w:pStyle w:val="FirstParagraph"/>
      </w:pPr>
      <w:r>
        <w:t xml:space="preserve">Après avoir filtré et annoté individuellement chaque échantillon :</w:t>
      </w:r>
    </w:p>
    <w:p>
      <w:pPr>
        <w:pStyle w:val="SourceCode"/>
      </w:pPr>
      <w:r>
        <w:rPr>
          <w:rStyle w:val="CommentTok"/>
        </w:rPr>
        <w:t xml:space="preserve"># Agréger tous les *_filtered.xlsx d'un répertoire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run.sh </w:t>
      </w:r>
      <w:r>
        <w:rPr>
          <w:rStyle w:val="AttributeTok"/>
        </w:rPr>
        <w:t xml:space="preserve">--aggregate</w:t>
      </w:r>
      <w:r>
        <w:rPr>
          <w:rStyle w:val="NormalTok"/>
        </w:rPr>
        <w:t xml:space="preserve"> /chemin/vers/dossier_xlsx/</w:t>
      </w:r>
      <w:r>
        <w:br/>
      </w:r>
      <w:r>
        <w:br/>
      </w:r>
      <w:r>
        <w:rPr>
          <w:rStyle w:val="CommentTok"/>
        </w:rPr>
        <w:t xml:space="preserve"># Ou des fichiers spécifiques</w:t>
      </w:r>
      <w:r>
        <w:br/>
      </w:r>
      <w:r>
        <w:rPr>
          <w:rStyle w:val="ExtensionTok"/>
        </w:rPr>
        <w:t xml:space="preserve">micromamba</w:t>
      </w:r>
      <w:r>
        <w:rPr>
          <w:rStyle w:val="NormalTok"/>
        </w:rPr>
        <w:t xml:space="preserve"> activate ngs_reanalysis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aggregate_annotations.py fichier1_filtered.xlsx fichier2_filtered.xlsx</w:t>
      </w:r>
    </w:p>
    <w:p>
      <w:pPr>
        <w:pStyle w:val="FirstParagraph"/>
      </w:pPr>
      <w:r>
        <w:rPr>
          <w:b/>
          <w:bCs/>
        </w:rPr>
        <w:t xml:space="preserve">Sortie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TSC_063_annotations.xlsx</w:t>
      </w:r>
      <w:r>
        <w:t xml:space="preserve"> </w:t>
      </w:r>
      <w:r>
        <w:t xml:space="preserve">— tableau de synthèse de tous les variants annotés (USER_CLASS/ANNOT/COM non vides) avec la colonne SAMPLE et SOURCE_SHEET.</w:t>
      </w:r>
    </w:p>
    <w:bookmarkEnd w:id="17"/>
    <w:bookmarkStart w:id="18" w:name="captures-igv-poste-de-travail-uniquement"/>
    <w:p>
      <w:pPr>
        <w:pStyle w:val="Heading2"/>
      </w:pPr>
      <w:r>
        <w:t xml:space="preserve">3.4. Captures IGV (poste de travail uniquement)</w:t>
      </w:r>
    </w:p>
    <w:p>
      <w:pPr>
        <w:pStyle w:val="BlockText"/>
      </w:pPr>
      <w:r>
        <w:rPr>
          <w:b/>
          <w:bCs/>
        </w:rPr>
        <w:t xml:space="preserve">Pré-requis</w:t>
      </w:r>
      <w:r>
        <w:t xml:space="preserve"> </w:t>
      </w:r>
      <w:r>
        <w:t xml:space="preserve">: IGV Desktop ouvert avec le port TCP activé (60151 par défaut).</w:t>
      </w:r>
    </w:p>
    <w:p>
      <w:pPr>
        <w:pStyle w:val="SourceCode"/>
      </w:pPr>
      <w:r>
        <w:rPr>
          <w:rStyle w:val="CommentTok"/>
        </w:rPr>
        <w:t xml:space="preserve"># Captures automatiques (3 vues × N variants)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igv_capture.py fichier_filtered.xlsx </w:t>
      </w:r>
      <w:r>
        <w:rPr>
          <w:rStyle w:val="AttributeTok"/>
        </w:rPr>
        <w:t xml:space="preserve">--bam-dir</w:t>
      </w:r>
      <w:r>
        <w:rPr>
          <w:rStyle w:val="NormalTok"/>
        </w:rPr>
        <w:t xml:space="preserve"> /chemin/vers/bams/</w:t>
      </w:r>
      <w:r>
        <w:br/>
      </w:r>
      <w:r>
        <w:br/>
      </w:r>
      <w:r>
        <w:rPr>
          <w:rStyle w:val="CommentTok"/>
        </w:rPr>
        <w:t xml:space="preserve"># Bookmarks IGV (régions d'intérêt)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igv_bookmark.py fichier_filtered.xlsx</w:t>
      </w:r>
    </w:p>
    <w:p>
      <w:pPr>
        <w:pStyle w:val="FirstParagraph"/>
      </w:pPr>
      <w:r>
        <w:t xml:space="preserve">Les scripts IGV ne sont pertinents que sur un poste avec écran — pas sur le serveur.</w:t>
      </w:r>
    </w:p>
    <w:bookmarkEnd w:id="18"/>
    <w:bookmarkStart w:id="19" w:name="tests"/>
    <w:p>
      <w:pPr>
        <w:pStyle w:val="Heading2"/>
      </w:pPr>
      <w:r>
        <w:t xml:space="preserve">3.5. Tests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run.sh </w:t>
      </w:r>
      <w:r>
        <w:rPr>
          <w:rStyle w:val="AttributeTok"/>
        </w:rPr>
        <w:t xml:space="preserve">--test</w:t>
      </w:r>
      <w:r>
        <w:br/>
      </w:r>
      <w:r>
        <w:rPr>
          <w:rStyle w:val="CommentTok"/>
        </w:rPr>
        <w:t xml:space="preserve"># Ou : python -m pytest tests/ -v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configuration-config.yaml"/>
    <w:p>
      <w:pPr>
        <w:pStyle w:val="Heading1"/>
      </w:pPr>
      <w:r>
        <w:t xml:space="preserve">4. Configuration (</w:t>
      </w:r>
      <w:r>
        <w:rPr>
          <w:rStyle w:val="VerbatimChar"/>
        </w:rPr>
        <w:t xml:space="preserve">config.yaml</w:t>
      </w:r>
      <w:r>
        <w:t xml:space="preserve">)</w:t>
      </w:r>
    </w:p>
    <w:p>
      <w:pPr>
        <w:pStyle w:val="FirstParagraph"/>
      </w:pPr>
      <w:r>
        <w:t xml:space="preserve">Toute modification de seuils se fait dans ce fichier —</w:t>
      </w:r>
      <w:r>
        <w:t xml:space="preserve"> </w:t>
      </w:r>
      <w:r>
        <w:rPr>
          <w:b/>
          <w:bCs/>
        </w:rPr>
        <w:t xml:space="preserve">aucun code Python à modifier</w:t>
      </w:r>
      <w:r>
        <w:t xml:space="preserve">.</w:t>
      </w:r>
    </w:p>
    <w:bookmarkStart w:id="21" w:name="gènes-cibles"/>
    <w:p>
      <w:pPr>
        <w:pStyle w:val="Heading2"/>
      </w:pPr>
      <w:r>
        <w:t xml:space="preserve">4.1. Gènes cibles</w:t>
      </w:r>
    </w:p>
    <w:p>
      <w:pPr>
        <w:pStyle w:val="SourceCode"/>
      </w:pPr>
      <w:r>
        <w:rPr>
          <w:rStyle w:val="FunctionTok"/>
        </w:rPr>
        <w:t xml:space="preserve">genes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TSC1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TSC2</w:t>
      </w:r>
      <w:r>
        <w:rPr>
          <w:rStyle w:val="KeywordTok"/>
        </w:rPr>
        <w:t xml:space="preserve">]</w:t>
      </w:r>
    </w:p>
    <w:bookmarkEnd w:id="21"/>
    <w:bookmarkStart w:id="22" w:name="seuils-dexclusion"/>
    <w:p>
      <w:pPr>
        <w:pStyle w:val="Heading2"/>
      </w:pPr>
      <w:r>
        <w:t xml:space="preserve">4.2. Seuils d’exclusion</w:t>
      </w:r>
    </w:p>
    <w:p>
      <w:pPr>
        <w:pStyle w:val="SourceCode"/>
      </w:pPr>
      <w:r>
        <w:rPr>
          <w:rStyle w:val="FunctionTok"/>
        </w:rPr>
        <w:t xml:space="preserve">exclusions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gnomad_max_af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0.005</w:t>
      </w:r>
      <w:r>
        <w:rPr>
          <w:rStyle w:val="CommentTok"/>
        </w:rPr>
        <w:t xml:space="preserve">       # &gt; 0.5% gnomAD → exclu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rncnt_max_total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         # &gt; 6 récurrences dans le run → exclu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pjcnt_max_total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      # &gt; 10 dans la méta-analyse → exclu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exclude_hom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# homozygotes récurrents → exclus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exclude_clinvar_benign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mosaic_artifact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rncnt_low_max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af_max_pct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35.0</w:t>
      </w:r>
    </w:p>
    <w:bookmarkEnd w:id="22"/>
    <w:bookmarkStart w:id="23" w:name="onglets-danalyse"/>
    <w:p>
      <w:pPr>
        <w:pStyle w:val="Heading2"/>
      </w:pPr>
      <w:r>
        <w:t xml:space="preserve">4.3. Onglets d’analyse</w:t>
      </w:r>
    </w:p>
    <w:p>
      <w:pPr>
        <w:pStyle w:val="FirstParagraph"/>
      </w:pPr>
      <w:r>
        <w:t xml:space="preserve">Chaque onglet peut être activé/désactivé et ses seuils ajustés :</w:t>
      </w:r>
    </w:p>
    <w:p>
      <w:pPr>
        <w:pStyle w:val="SourceCode"/>
      </w:pPr>
      <w:r>
        <w:rPr>
          <w:rStyle w:val="FunctionTok"/>
        </w:rPr>
        <w:t xml:space="preserve">sheets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high_impact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clinvar_p_lp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mosaic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af_min_pct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af_max_pct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rncnt_max_total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deep_mosaic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af_min_pct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af_max_pct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min_dp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extra_genes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RHEB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PKD1</w:t>
      </w:r>
      <w:r>
        <w:rPr>
          <w:rStyle w:val="KeywordTok"/>
        </w:rPr>
        <w:t xml:space="preserve">]</w:t>
      </w:r>
    </w:p>
    <w:bookmarkEnd w:id="23"/>
    <w:bookmarkStart w:id="24" w:name="score-de-qualité-système-rgb-3-axes"/>
    <w:p>
      <w:pPr>
        <w:pStyle w:val="Heading2"/>
      </w:pPr>
      <w:r>
        <w:t xml:space="preserve">4.4. Score de qualité — système RGB 3 axes</w:t>
      </w:r>
    </w:p>
    <w:p>
      <w:pPr>
        <w:pStyle w:val="FirstParagraph"/>
      </w:pPr>
      <w:r>
        <w:t xml:space="preserve">La couleur de la cellule Import DefGen encode</w:t>
      </w:r>
      <w:r>
        <w:t xml:space="preserve"> </w:t>
      </w:r>
      <w:r>
        <w:rPr>
          <w:b/>
          <w:bCs/>
        </w:rPr>
        <w:t xml:space="preserve">trois dimensions indépendantes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Critères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 </w:t>
            </w:r>
            <w:r>
              <w:t xml:space="preserve">(rouge)</w:t>
            </w:r>
          </w:p>
        </w:tc>
        <w:tc>
          <w:tcPr/>
          <w:p>
            <w:pPr>
              <w:pStyle w:val="Compact"/>
            </w:pPr>
            <w:r>
              <w:t xml:space="preserve">Risque artefact = 1 − qualité technique</w:t>
            </w:r>
          </w:p>
        </w:tc>
        <w:tc>
          <w:tcPr/>
          <w:p>
            <w:pPr>
              <w:pStyle w:val="Compact"/>
            </w:pPr>
            <w:r>
              <w:t xml:space="preserve">SB (strand bias), CALLNB, DP/AF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t xml:space="preserve">(vert)</w:t>
            </w:r>
          </w:p>
        </w:tc>
        <w:tc>
          <w:tcPr/>
          <w:p>
            <w:pPr>
              <w:pStyle w:val="Compact"/>
            </w:pPr>
            <w:r>
              <w:t xml:space="preserve">Signal biologique</w:t>
            </w:r>
          </w:p>
        </w:tc>
        <w:tc>
          <w:tcPr/>
          <w:p>
            <w:pPr>
              <w:pStyle w:val="Compact"/>
            </w:pPr>
            <w:r>
              <w:t xml:space="preserve">ClinVar, IMPACT, CADD, REVEL, SpliceAI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(bleu)</w:t>
            </w:r>
          </w:p>
        </w:tc>
        <w:tc>
          <w:tcPr/>
          <w:p>
            <w:pPr>
              <w:pStyle w:val="Compact"/>
            </w:pPr>
            <w:r>
              <w:t xml:space="preserve">Rareté du variant</w:t>
            </w:r>
          </w:p>
        </w:tc>
        <w:tc>
          <w:tcPr/>
          <w:p>
            <w:pPr>
              <w:pStyle w:val="Compact"/>
            </w:pPr>
            <w:r>
              <w:t xml:space="preserve">RNCNT, PJCNT, gnomAD, LOVD</w:t>
            </w:r>
          </w:p>
        </w:tc>
      </w:tr>
    </w:tbl>
    <w:p>
      <w:pPr>
        <w:pStyle w:val="BodyText"/>
      </w:pPr>
      <w:r>
        <w:t xml:space="preserve">Poids par défaut (ajustables dans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) :</w:t>
      </w:r>
    </w:p>
    <w:p>
      <w:pPr>
        <w:pStyle w:val="SourceCode"/>
      </w:pPr>
      <w:r>
        <w:rPr>
          <w:rStyle w:val="FunctionTok"/>
        </w:rPr>
        <w:t xml:space="preserve">scoring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technical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# → canal R (inverted)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good_min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good_max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callnb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excellent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dp_af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min_alt_reads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biological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→ canal 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clinvar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pathogenic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absent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HIGH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good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good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spliceai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good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rarity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# → canal 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rncnt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good_max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≤ 1 = patient unique dans la 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pjcnt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good_max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gnomad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ultra_rare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lovd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gnomad_pjcnt_benign_threshold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# absent gnomAD + PJCNT ≥ 10 → artefact panel</w:t>
      </w:r>
    </w:p>
    <w:bookmarkEnd w:id="24"/>
    <w:bookmarkStart w:id="25" w:name="signalement-des-discordances-afrun"/>
    <w:p>
      <w:pPr>
        <w:pStyle w:val="Heading2"/>
      </w:pPr>
      <w:r>
        <w:t xml:space="preserve">4.5. Signalement des discordances AF/run</w:t>
      </w:r>
    </w:p>
    <w:p>
      <w:pPr>
        <w:pStyle w:val="SourceCode"/>
      </w:pPr>
      <w:r>
        <w:rPr>
          <w:rStyle w:val="FunctionTok"/>
        </w:rPr>
        <w:t xml:space="preserve">af_discordance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htz_recurrent_in_mosaic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# HTZ récurrent → ici mosaïque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min_rncnt_htz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mosaic_af_max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mosaic_recurrent_in_htz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# Mosaïque récurrent → ici HTZ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min_rncnt_low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htz_af_min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htz_af_max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65.0</w:t>
      </w:r>
    </w:p>
    <w:bookmarkEnd w:id="25"/>
    <w:bookmarkStart w:id="26" w:name="termes-dexclusion-igv"/>
    <w:p>
      <w:pPr>
        <w:pStyle w:val="Heading2"/>
      </w:pPr>
      <w:r>
        <w:t xml:space="preserve">4.6. Termes d’exclusion IGV</w:t>
      </w:r>
    </w:p>
    <w:p>
      <w:pPr>
        <w:pStyle w:val="SourceCode"/>
      </w:pPr>
      <w:r>
        <w:rPr>
          <w:rStyle w:val="FunctionTok"/>
        </w:rPr>
        <w:t xml:space="preserve">igv_exclusion_terms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"SB"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"ReMM low"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"Fréquence"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interprétation-du-fichier-de-sortie"/>
    <w:p>
      <w:pPr>
        <w:pStyle w:val="Heading1"/>
      </w:pPr>
      <w:r>
        <w:t xml:space="preserve">5. Interprétation du fichier de sortie</w:t>
      </w:r>
    </w:p>
    <w:bookmarkStart w:id="28" w:name="code-couleur-des-cellules"/>
    <w:p>
      <w:pPr>
        <w:pStyle w:val="Heading2"/>
      </w:pPr>
      <w:r>
        <w:t xml:space="preserve">5.1. Code couleur des cellules</w:t>
      </w:r>
    </w:p>
    <w:p>
      <w:pPr>
        <w:pStyle w:val="FirstParagraph"/>
      </w:pPr>
      <w:r>
        <w:t xml:space="preserve">Les colonnes (SB, CALLNB, IMPACT, CLINVAR…) utilisent un code couleur classique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Couleur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</w:t>
            </w:r>
          </w:p>
        </w:tc>
        <w:tc>
          <w:tcPr/>
          <w:p>
            <w:pPr>
              <w:pStyle w:val="Compact"/>
            </w:pPr>
            <w:r>
              <w:t xml:space="preserve">Bon / favorable (SB équilibré, gnomAD absent, 4 callers)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Jaune</w:t>
            </w:r>
          </w:p>
        </w:tc>
        <w:tc>
          <w:tcPr/>
          <w:p>
            <w:pPr>
              <w:pStyle w:val="Compact"/>
            </w:pPr>
            <w:r>
              <w:t xml:space="preserve">Attention / modéré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Alerte (1 seul caller, deep mosaic)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Rouge</w:t>
            </w:r>
          </w:p>
        </w:tc>
        <w:tc>
          <w:tcPr/>
          <w:p>
            <w:pPr>
              <w:pStyle w:val="Compact"/>
            </w:pPr>
            <w:r>
              <w:t xml:space="preserve">Défavorable (SB biaisé fort, ClinVar Benign)</w:t>
            </w:r>
          </w:p>
        </w:tc>
      </w:tr>
    </w:tbl>
    <w:bookmarkEnd w:id="28"/>
    <w:bookmarkStart w:id="31" w:name="import-defgen-score-rgb-3-axes"/>
    <w:p>
      <w:pPr>
        <w:pStyle w:val="Heading2"/>
      </w:pPr>
      <w:r>
        <w:t xml:space="preserve">5.2. Import DefGen — Score RGB 3 axes</w:t>
      </w:r>
    </w:p>
    <w:p>
      <w:pPr>
        <w:pStyle w:val="FirstParagraph"/>
      </w:pPr>
      <w:r>
        <w:t xml:space="preserve">La cellule Import DefGen utilise un</w:t>
      </w:r>
      <w:r>
        <w:t xml:space="preserve"> </w:t>
      </w:r>
      <w:r>
        <w:rPr>
          <w:b/>
          <w:bCs/>
        </w:rPr>
        <w:t xml:space="preserve">code couleur RGB</w:t>
      </w:r>
      <w:r>
        <w:t xml:space="preserve"> </w:t>
      </w:r>
      <w:r>
        <w:t xml:space="preserve">encodant trois dimensions simultanément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Élevé 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 </w:t>
            </w:r>
            <w:r>
              <w:t xml:space="preserve">rouge</w:t>
            </w:r>
          </w:p>
        </w:tc>
        <w:tc>
          <w:tcPr/>
          <w:p>
            <w:pPr>
              <w:pStyle w:val="Compact"/>
            </w:pPr>
            <w:r>
              <w:t xml:space="preserve">Risque artefact (1 − qualité technique)</w:t>
            </w:r>
          </w:p>
        </w:tc>
        <w:tc>
          <w:tcPr/>
          <w:p>
            <w:pPr>
              <w:pStyle w:val="Compact"/>
            </w:pPr>
            <w:r>
              <w:t xml:space="preserve">Séquençage douteux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t xml:space="preserve">vert</w:t>
            </w:r>
          </w:p>
        </w:tc>
        <w:tc>
          <w:tcPr/>
          <w:p>
            <w:pPr>
              <w:pStyle w:val="Compact"/>
            </w:pPr>
            <w:r>
              <w:t xml:space="preserve">Signal biologique</w:t>
            </w:r>
          </w:p>
        </w:tc>
        <w:tc>
          <w:tcPr/>
          <w:p>
            <w:pPr>
              <w:pStyle w:val="Compact"/>
            </w:pPr>
            <w:r>
              <w:t xml:space="preserve">Variant pertinent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bleu</w:t>
            </w:r>
          </w:p>
        </w:tc>
        <w:tc>
          <w:tcPr/>
          <w:p>
            <w:pPr>
              <w:pStyle w:val="Compact"/>
            </w:pPr>
            <w:r>
              <w:t xml:space="preserve">Rareté</w:t>
            </w:r>
          </w:p>
        </w:tc>
        <w:tc>
          <w:tcPr/>
          <w:p>
            <w:pPr>
              <w:pStyle w:val="Compact"/>
            </w:pPr>
            <w:r>
              <w:t xml:space="preserve">Variant novel/unique</w:t>
            </w:r>
          </w:p>
        </w:tc>
      </w:tr>
    </w:tbl>
    <w:bookmarkStart w:id="29" w:name="signatures-visuelles"/>
    <w:p>
      <w:pPr>
        <w:pStyle w:val="Heading3"/>
      </w:pPr>
      <w:r>
        <w:t xml:space="preserve">Signatures visuelles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825"/>
        <w:gridCol w:w="495"/>
        <w:gridCol w:w="495"/>
        <w:gridCol w:w="495"/>
        <w:gridCol w:w="264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Couleur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Interprétation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🔵🟢</w:t>
            </w:r>
            <w:r>
              <w:t xml:space="preserve"> </w:t>
            </w:r>
            <w:r>
              <w:rPr>
                <w:b/>
                <w:bCs/>
              </w:rPr>
              <w:t xml:space="preserve">Cyan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#00FFFF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 idéal</w:t>
            </w:r>
          </w:p>
        </w:tc>
        <w:tc>
          <w:tcPr/>
          <w:p>
            <w:pPr>
              <w:pStyle w:val="Compact"/>
            </w:pPr>
            <w:r>
              <w:t xml:space="preserve">ClinVar P, SB=0.5, 4 callers, gnomAD absent, RNCNT=1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Vert pur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#00FF00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Bio forte mais</w:t>
            </w:r>
            <w:r>
              <w:t xml:space="preserve"> </w:t>
            </w:r>
            <w:r>
              <w:rPr>
                <w:b/>
                <w:bCs/>
              </w:rPr>
              <w:t xml:space="preserve">non rare</w:t>
            </w:r>
            <w:r>
              <w:t xml:space="preserve"> </w:t>
            </w:r>
            <w:r>
              <w:t xml:space="preserve">— récurrent dans nos runs ou artefact panel</w:t>
            </w:r>
          </w:p>
        </w:tc>
        <w:tc>
          <w:tcPr/>
          <w:p>
            <w:pPr>
              <w:pStyle w:val="Compact"/>
            </w:pPr>
            <w:r>
              <w:t xml:space="preserve">ClinVar P, PJCNT=12, gnomAD absent (artefact panel)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Jaune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#FFFF00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Faux-positif dangereux</w:t>
            </w:r>
            <w:r>
              <w:t xml:space="preserve"> </w:t>
            </w:r>
            <w:r>
              <w:t xml:space="preserve">— biologie forte + artefact technique</w:t>
            </w:r>
          </w:p>
        </w:tc>
        <w:tc>
          <w:tcPr/>
          <w:p>
            <w:pPr>
              <w:pStyle w:val="Compact"/>
            </w:pPr>
            <w:r>
              <w:t xml:space="preserve">ClinVar P, SB=0.97, 1 caller, mais gnomAD fréquent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Rouge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#FF0000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Artefact pur</w:t>
            </w:r>
          </w:p>
        </w:tc>
        <w:tc>
          <w:tcPr/>
          <w:p>
            <w:pPr>
              <w:pStyle w:val="Compact"/>
            </w:pPr>
            <w:r>
              <w:t xml:space="preserve">SB extrême, 1 caller, MODIFIER, gnomAD &gt; 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⚫</w:t>
            </w:r>
            <w:r>
              <w:t xml:space="preserve"> </w:t>
            </w:r>
            <w:r>
              <w:rPr>
                <w:b/>
                <w:bCs/>
              </w:rPr>
              <w:t xml:space="preserve">Noir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Sans intérêt biologique, séquençage propre</w:t>
            </w:r>
          </w:p>
        </w:tc>
        <w:tc>
          <w:tcPr/>
          <w:p>
            <w:pPr>
              <w:pStyle w:val="Compact"/>
            </w:pPr>
            <w:r>
              <w:t xml:space="preserve">MODIFIER, commun, technique parfaite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</w:t>
            </w:r>
            <w:r>
              <w:t xml:space="preserve"> </w:t>
            </w:r>
            <w:r>
              <w:rPr>
                <w:b/>
                <w:bCs/>
              </w:rPr>
              <w:t xml:space="preserve">Bleu-vert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#1C88A0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VUS/splice modéré, rare</w:t>
            </w:r>
          </w:p>
        </w:tc>
        <w:tc>
          <w:tcPr/>
          <w:p>
            <w:pPr>
              <w:pStyle w:val="Compact"/>
            </w:pPr>
            <w:r>
              <w:t xml:space="preserve">SpliceAI=0.72, gnomAD ultra-rare, RNCNT=1</w:t>
            </w:r>
          </w:p>
        </w:tc>
      </w:tr>
    </w:tbl>
    <w:bookmarkEnd w:id="29"/>
    <w:bookmarkStart w:id="30" w:name="règle-spéciale-paradoxe-gnomad"/>
    <w:p>
      <w:pPr>
        <w:pStyle w:val="Heading3"/>
      </w:pPr>
      <w:r>
        <w:t xml:space="preserve">Règle spéciale — Paradoxe gnomAD</w:t>
      </w:r>
    </w:p>
    <w:p>
      <w:pPr>
        <w:pStyle w:val="BlockText"/>
      </w:pPr>
      <w:r>
        <w:rPr>
          <w:b/>
          <w:bCs/>
        </w:rPr>
        <w:t xml:space="preserve">Absent gnomAD + PJCNT ≥ 10</w:t>
      </w:r>
      <w:r>
        <w:t xml:space="preserve"> </w:t>
      </w:r>
      <w:r>
        <w:t xml:space="preserve">→ contribution gnomAD annulée.</w:t>
      </w:r>
      <w:r>
        <w:t xml:space="preserve"> </w:t>
      </w:r>
      <w:r>
        <w:t xml:space="preserve">L’absence dans la population générale n’est pas un argument de rareté si le variant est très fréquent dans nos runs — c’est un</w:t>
      </w:r>
      <w:r>
        <w:t xml:space="preserve"> </w:t>
      </w:r>
      <w:r>
        <w:rPr>
          <w:b/>
          <w:bCs/>
        </w:rPr>
        <w:t xml:space="preserve">artefact panel</w:t>
      </w:r>
      <w:r>
        <w:t xml:space="preserve"> </w:t>
      </w:r>
      <w:r>
        <w:t xml:space="preserve">(variant spécifique à notre technique, invisible en gnomAD car jamais séquencé avec notre panel). La cellule passe en vert pur (B=0) plutôt qu’en cyan.</w:t>
      </w:r>
    </w:p>
    <w:p>
      <w:pPr>
        <w:pStyle w:val="FirstParagraph"/>
      </w:pPr>
      <w:r>
        <w:t xml:space="preserve">Au survol de la cellule Import DefGen : commentaire détaillé avec scores Tech/Bio/Rareté et diagnostic ligne par ligne de chaque critère.</w:t>
      </w:r>
    </w:p>
    <w:bookmarkEnd w:id="30"/>
    <w:bookmarkEnd w:id="31"/>
    <w:bookmarkStart w:id="32" w:name="police-bleue-sur-hgvsc"/>
    <w:p>
      <w:pPr>
        <w:pStyle w:val="Heading2"/>
      </w:pPr>
      <w:r>
        <w:t xml:space="preserve">5.3. Police bleue sur HGVSc</w:t>
      </w:r>
    </w:p>
    <w:p>
      <w:pPr>
        <w:pStyle w:val="FirstParagraph"/>
      </w:pPr>
      <w:r>
        <w:t xml:space="preserve">Un variant en</w:t>
      </w:r>
      <w:r>
        <w:t xml:space="preserve"> </w:t>
      </w:r>
      <w:r>
        <w:rPr>
          <w:b/>
          <w:bCs/>
        </w:rPr>
        <w:t xml:space="preserve">police bleue</w:t>
      </w:r>
      <w:r>
        <w:t xml:space="preserve"> </w:t>
      </w:r>
      <w:r>
        <w:t xml:space="preserve">apparaît dans</w:t>
      </w:r>
      <w:r>
        <w:t xml:space="preserve"> </w:t>
      </w:r>
      <w:r>
        <w:rPr>
          <w:b/>
          <w:bCs/>
        </w:rPr>
        <w:t xml:space="preserve">plusieurs onglets</w:t>
      </w:r>
      <w:r>
        <w:t xml:space="preserve"> </w:t>
      </w:r>
      <w:r>
        <w:t xml:space="preserve">du classeur. Le commentaire au survol liste les onglets concernés.</w:t>
      </w:r>
    </w:p>
    <w:bookmarkEnd w:id="32"/>
    <w:bookmarkStart w:id="33" w:name="fond-rouge-sur-hgvsc"/>
    <w:p>
      <w:pPr>
        <w:pStyle w:val="Heading2"/>
      </w:pPr>
      <w:r>
        <w:t xml:space="preserve">5.4. Fond rouge sur HGVSc</w:t>
      </w:r>
    </w:p>
    <w:p>
      <w:pPr>
        <w:pStyle w:val="FirstParagraph"/>
      </w:pPr>
      <w:r>
        <w:t xml:space="preserve">Un variant avec</w:t>
      </w:r>
      <w:r>
        <w:t xml:space="preserve"> </w:t>
      </w:r>
      <w:r>
        <w:rPr>
          <w:b/>
          <w:bCs/>
        </w:rPr>
        <w:t xml:space="preserve">fond rouge sur HGVSc</w:t>
      </w:r>
      <w:r>
        <w:t xml:space="preserve"> </w:t>
      </w:r>
      <w:r>
        <w:t xml:space="preserve">présente une</w:t>
      </w:r>
      <w:r>
        <w:t xml:space="preserve"> </w:t>
      </w:r>
      <w:r>
        <w:rPr>
          <w:b/>
          <w:bCs/>
        </w:rPr>
        <w:t xml:space="preserve">discordance AF/run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HTZ récurrent dans le run mais ici en mosaïque → artefact probable</w:t>
      </w:r>
    </w:p>
    <w:p>
      <w:pPr>
        <w:pStyle w:val="Compact"/>
        <w:numPr>
          <w:ilvl w:val="0"/>
          <w:numId w:val="1003"/>
        </w:numPr>
      </w:pPr>
      <w:r>
        <w:t xml:space="preserve">Mosaïque récurrent mais ici en HTZ →</w:t>
      </w:r>
      <w:r>
        <w:t xml:space="preserve"> </w:t>
      </w:r>
      <w:r>
        <w:rPr>
          <w:b/>
          <w:bCs/>
        </w:rPr>
        <w:t xml:space="preserve">variant potentiellement pathogène, à vérifier sur IGV</w:t>
      </w:r>
    </w:p>
    <w:bookmarkEnd w:id="33"/>
    <w:bookmarkStart w:id="34" w:name="colonnes-user_class-user_annot-user_com"/>
    <w:p>
      <w:pPr>
        <w:pStyle w:val="Heading2"/>
      </w:pPr>
      <w:r>
        <w:t xml:space="preserve">5.5. Colonnes USER_CLASS / USER_ANNOT / USER_COM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USER_CLASS</w:t>
            </w:r>
          </w:p>
        </w:tc>
        <w:tc>
          <w:tcPr/>
          <w:p>
            <w:pPr>
              <w:pStyle w:val="Compact"/>
            </w:pPr>
            <w:r>
              <w:t xml:space="preserve">Classe ACMG (1–5) ou terme d’exclusion (SB, ReMM 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USER_ANNOT</w:t>
            </w:r>
          </w:p>
        </w:tc>
        <w:tc>
          <w:tcPr/>
          <w:p>
            <w:pPr>
              <w:pStyle w:val="Compact"/>
            </w:pPr>
            <w:r>
              <w:t xml:space="preserve">Annotation libre du biologiste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USER_COM</w:t>
            </w:r>
          </w:p>
        </w:tc>
        <w:tc>
          <w:tcPr/>
          <w:p>
            <w:pPr>
              <w:pStyle w:val="Compact"/>
            </w:pPr>
            <w:r>
              <w:t xml:space="preserve">Formule automatique : agrège les annotations des autres onglets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flux-de-travail-recommandé"/>
    <w:p>
      <w:pPr>
        <w:pStyle w:val="Heading1"/>
      </w:pPr>
      <w:r>
        <w:t xml:space="preserve">6. Flux de travail recommandé</w:t>
      </w:r>
    </w:p>
    <w:p>
      <w:pPr>
        <w:pStyle w:val="SourceCode"/>
      </w:pPr>
      <w:r>
        <w:rPr>
          <w:rStyle w:val="VerbatimChar"/>
        </w:rPr>
        <w:t xml:space="preserve">1. Récupérer le XLSX NiourK depuis le serveur CHU</w:t>
      </w:r>
      <w:r>
        <w:br/>
      </w:r>
      <w:r>
        <w:rPr>
          <w:rStyle w:val="VerbatimChar"/>
        </w:rPr>
        <w:t xml:space="preserve">   scp sl157:/data/results/TSC_063/sample.xlsx .</w:t>
      </w:r>
      <w:r>
        <w:br/>
      </w:r>
      <w:r>
        <w:br/>
      </w:r>
      <w:r>
        <w:rPr>
          <w:rStyle w:val="VerbatimChar"/>
        </w:rPr>
        <w:t xml:space="preserve">2. Filtrer</w:t>
      </w:r>
      <w:r>
        <w:br/>
      </w:r>
      <w:r>
        <w:rPr>
          <w:rStyle w:val="VerbatimChar"/>
        </w:rPr>
        <w:t xml:space="preserve">   bash run.sh sample.xlsx</w:t>
      </w:r>
      <w:r>
        <w:br/>
      </w:r>
      <w:r>
        <w:br/>
      </w:r>
      <w:r>
        <w:rPr>
          <w:rStyle w:val="VerbatimChar"/>
        </w:rPr>
        <w:t xml:space="preserve">3. Ouvrir dans Excel → interpréter les variants onglet par onglet</w:t>
      </w:r>
      <w:r>
        <w:br/>
      </w:r>
      <w:r>
        <w:rPr>
          <w:rStyle w:val="VerbatimChar"/>
        </w:rPr>
        <w:t xml:space="preserve">   → Annoter USER_CLASS (classe ACMG) et USER_ANNOT (commentaire)</w:t>
      </w:r>
      <w:r>
        <w:br/>
      </w:r>
      <w:r>
        <w:rPr>
          <w:rStyle w:val="VerbatimChar"/>
        </w:rPr>
        <w:t xml:space="preserve">   → Les formules USER_COM propagent automatiquement</w:t>
      </w:r>
      <w:r>
        <w:br/>
      </w:r>
      <w:r>
        <w:br/>
      </w:r>
      <w:r>
        <w:rPr>
          <w:rStyle w:val="VerbatimChar"/>
        </w:rPr>
        <w:t xml:space="preserve">4. (Optionnel) Vérifier sur IGV les variants signalés</w:t>
      </w:r>
      <w:r>
        <w:br/>
      </w:r>
      <w:r>
        <w:rPr>
          <w:rStyle w:val="VerbatimChar"/>
        </w:rPr>
        <w:t xml:space="preserve">   python igv_bookmark.py sample_filtered.xlsx</w:t>
      </w:r>
      <w:r>
        <w:br/>
      </w:r>
      <w:r>
        <w:rPr>
          <w:rStyle w:val="VerbatimChar"/>
        </w:rPr>
        <w:t xml:space="preserve">   python igv_capture.py sample_filtered.xlsx --bam-dir /chemin/bams/</w:t>
      </w:r>
      <w:r>
        <w:br/>
      </w:r>
      <w:r>
        <w:br/>
      </w:r>
      <w:r>
        <w:rPr>
          <w:rStyle w:val="VerbatimChar"/>
        </w:rPr>
        <w:t xml:space="preserve">5. Agréger après avoir traité tous les échantillons</w:t>
      </w:r>
      <w:r>
        <w:br/>
      </w:r>
      <w:r>
        <w:rPr>
          <w:rStyle w:val="VerbatimChar"/>
        </w:rPr>
        <w:t xml:space="preserve">   bash run.sh --aggregate /dossier/xlsx/</w:t>
      </w:r>
    </w:p>
    <w:p>
      <w:r>
        <w:pict>
          <v:rect style="width:0;height:1.5pt" o:hralign="center" o:hrstd="t" o:hr="t"/>
        </w:pict>
      </w:r>
    </w:p>
    <w:bookmarkEnd w:id="36"/>
    <w:bookmarkStart w:id="37" w:name="dépannage"/>
    <w:p>
      <w:pPr>
        <w:pStyle w:val="Heading1"/>
      </w:pPr>
      <w:r>
        <w:t xml:space="preserve">7. Dépannage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Problème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micromamba: command not found</w:t>
            </w:r>
          </w:p>
        </w:tc>
        <w:tc>
          <w:tcPr/>
          <w:p>
            <w:pPr>
              <w:pStyle w:val="Compact"/>
            </w:pPr>
            <w:r>
              <w:t xml:space="preserve">Relancer</w:t>
            </w:r>
            <w:r>
              <w:t xml:space="preserve"> </w:t>
            </w:r>
            <w:r>
              <w:rPr>
                <w:rStyle w:val="VerbatimChar"/>
              </w:rPr>
              <w:t xml:space="preserve">bash install.sh</w:t>
            </w:r>
            <w:r>
              <w:t xml:space="preserve"> </w:t>
            </w:r>
            <w:r>
              <w:t xml:space="preserve">ou sourcer le profil :</w:t>
            </w:r>
            <w:r>
              <w:t xml:space="preserve"> </w:t>
            </w:r>
            <w:r>
              <w:rPr>
                <w:rStyle w:val="VerbatimChar"/>
              </w:rPr>
              <w:t xml:space="preserve">eval "$(micromamba shell hook -s bash)"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ModuleNotFoundError: No module named 'pandas'</w:t>
            </w:r>
          </w:p>
        </w:tc>
        <w:tc>
          <w:tcPr/>
          <w:p>
            <w:pPr>
              <w:pStyle w:val="Compact"/>
            </w:pPr>
            <w:r>
              <w:t xml:space="preserve">Activer l’environnement :</w:t>
            </w:r>
            <w:r>
              <w:t xml:space="preserve"> </w:t>
            </w:r>
            <w:r>
              <w:rPr>
                <w:rStyle w:val="VerbatimChar"/>
              </w:rPr>
              <w:t xml:space="preserve">micromamba activate ngs_reanalysis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KeyError: 'Variants'</w:t>
            </w:r>
          </w:p>
        </w:tc>
        <w:tc>
          <w:tcPr/>
          <w:p>
            <w:pPr>
              <w:pStyle w:val="Compact"/>
            </w:pPr>
            <w:r>
              <w:t xml:space="preserve">Le fichier XLSX n’est pas au format NiourK (feuille</w:t>
            </w:r>
            <w:r>
              <w:t xml:space="preserve"> </w:t>
            </w:r>
            <w:r>
              <w:rPr>
                <w:rStyle w:val="VerbatimChar"/>
              </w:rPr>
              <w:t xml:space="preserve">Variants</w:t>
            </w:r>
            <w:r>
              <w:t xml:space="preserve"> </w:t>
            </w:r>
            <w:r>
              <w:t xml:space="preserve">manquante)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en échec</w:t>
            </w:r>
          </w:p>
        </w:tc>
        <w:tc>
          <w:tcPr/>
          <w:p>
            <w:pPr>
              <w:pStyle w:val="Compact"/>
            </w:pPr>
            <w:r>
              <w:t xml:space="preserve">Vérifier la version Python (3.11+) et relancer</w:t>
            </w:r>
            <w:r>
              <w:t xml:space="preserve"> </w:t>
            </w:r>
            <w:r>
              <w:rPr>
                <w:rStyle w:val="VerbatimChar"/>
              </w:rPr>
              <w:t xml:space="preserve">micromamba update -n ngs_reanalysis -f environment.yml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Formule</w:t>
            </w:r>
            <w:r>
              <w:t xml:space="preserve"> </w:t>
            </w:r>
            <w:r>
              <w:rPr>
                <w:rStyle w:val="VerbatimChar"/>
              </w:rPr>
              <w:t xml:space="preserve">#NOM?</w:t>
            </w:r>
            <w:r>
              <w:t xml:space="preserve"> </w:t>
            </w:r>
            <w:r>
              <w:t xml:space="preserve">dans Excel</w:t>
            </w:r>
          </w:p>
        </w:tc>
        <w:tc>
          <w:tcPr/>
          <w:p>
            <w:pPr>
              <w:pStyle w:val="Compact"/>
            </w:pPr>
            <w:r>
              <w:t xml:space="preserve">Normal si ouvert avec LibreOffice — nécessite Microsoft Excel 2010+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IGV non joignable</w:t>
            </w:r>
          </w:p>
        </w:tc>
        <w:tc>
          <w:tcPr/>
          <w:p>
            <w:pPr>
              <w:pStyle w:val="Compact"/>
            </w:pPr>
            <w:r>
              <w:t xml:space="preserve">Vérifier qu’IGV Desktop est ouvert et que</w:t>
            </w:r>
            <w:r>
              <w:t xml:space="preserve"> </w:t>
            </w:r>
            <w:r>
              <w:rPr>
                <w:rStyle w:val="VerbatimChar"/>
              </w:rPr>
              <w:t xml:space="preserve">Enable remote control</w:t>
            </w:r>
            <w:r>
              <w:t xml:space="preserve"> </w:t>
            </w:r>
            <w:r>
              <w:t xml:space="preserve">est coché dans View &gt; Preferences &gt; Advanced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écurité-et-isolation"/>
    <w:p>
      <w:pPr>
        <w:pStyle w:val="Heading1"/>
      </w:pPr>
      <w:r>
        <w:t xml:space="preserve">8. Sécurité et isolation</w:t>
      </w:r>
    </w:p>
    <w:p>
      <w:pPr>
        <w:pStyle w:val="Compact"/>
        <w:numPr>
          <w:ilvl w:val="0"/>
          <w:numId w:val="1004"/>
        </w:numPr>
      </w:pPr>
      <w:r>
        <w:t xml:space="preserve">L’environnement</w:t>
      </w:r>
      <w:r>
        <w:t xml:space="preserve"> </w:t>
      </w:r>
      <w:r>
        <w:rPr>
          <w:rStyle w:val="VerbatimChar"/>
        </w:rPr>
        <w:t xml:space="preserve">ngs_reanalysis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entièrement isolé</w:t>
      </w:r>
      <w:r>
        <w:t xml:space="preserve"> </w:t>
      </w:r>
      <w:r>
        <w:t xml:space="preserve">du système : aucune dépendance système, aucun paquet Python global utilisé</w:t>
      </w:r>
    </w:p>
    <w:p>
      <w:pPr>
        <w:pStyle w:val="Compact"/>
        <w:numPr>
          <w:ilvl w:val="0"/>
          <w:numId w:val="1004"/>
        </w:numPr>
      </w:pPr>
      <w:r>
        <w:t xml:space="preserve">Les scripts ne font</w:t>
      </w:r>
      <w:r>
        <w:t xml:space="preserve"> </w:t>
      </w:r>
      <w:r>
        <w:rPr>
          <w:b/>
          <w:bCs/>
        </w:rPr>
        <w:t xml:space="preserve">aucun accès réseau</w:t>
      </w:r>
      <w:r>
        <w:t xml:space="preserve"> </w:t>
      </w:r>
      <w:r>
        <w:t xml:space="preserve">(sauf</w:t>
      </w:r>
      <w:r>
        <w:t xml:space="preserve"> </w:t>
      </w:r>
      <w:r>
        <w:rPr>
          <w:rStyle w:val="VerbatimChar"/>
        </w:rPr>
        <w:t xml:space="preserve">igv_capture.py</w:t>
      </w:r>
      <w:r>
        <w:t xml:space="preserve"> </w:t>
      </w:r>
      <w:r>
        <w:t xml:space="preserve">qui communique en localhost avec IGV Desktop)</w:t>
      </w:r>
    </w:p>
    <w:p>
      <w:pPr>
        <w:pStyle w:val="Compact"/>
        <w:numPr>
          <w:ilvl w:val="0"/>
          <w:numId w:val="1004"/>
        </w:numPr>
      </w:pPr>
      <w:r>
        <w:t xml:space="preserve">Les données ne sont</w:t>
      </w:r>
      <w:r>
        <w:t xml:space="preserve"> </w:t>
      </w:r>
      <w:r>
        <w:rPr>
          <w:b/>
          <w:bCs/>
        </w:rPr>
        <w:t xml:space="preserve">jamais modifiées en place</w:t>
      </w:r>
      <w:r>
        <w:t xml:space="preserve"> </w:t>
      </w:r>
      <w:r>
        <w:t xml:space="preserve">— le fichier d’entrée n’est pas touché, un nouveau</w:t>
      </w:r>
      <w:r>
        <w:t xml:space="preserve"> </w:t>
      </w:r>
      <w:r>
        <w:rPr>
          <w:rStyle w:val="VerbatimChar"/>
        </w:rPr>
        <w:t xml:space="preserve">*_filtered.xlsx</w:t>
      </w:r>
      <w:r>
        <w:t xml:space="preserve"> </w:t>
      </w:r>
      <w:r>
        <w:t xml:space="preserve">est créé</w:t>
      </w:r>
    </w:p>
    <w:p>
      <w:pPr>
        <w:pStyle w:val="Compact"/>
        <w:numPr>
          <w:ilvl w:val="0"/>
          <w:numId w:val="1004"/>
        </w:numPr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est versionné et son hash MD5 est enregistré dans chaque fichier de sortie (</w:t>
      </w:r>
      <w:r>
        <w:rPr>
          <w:rStyle w:val="VerbatimChar"/>
        </w:rPr>
        <w:t xml:space="preserve">_summary</w:t>
      </w:r>
      <w:r>
        <w:t xml:space="preserve">) pour traçabilité</w:t>
      </w:r>
    </w:p>
    <w:p>
      <w:pPr>
        <w:pStyle w:val="Compact"/>
        <w:numPr>
          <w:ilvl w:val="0"/>
          <w:numId w:val="1004"/>
        </w:numPr>
      </w:pPr>
      <w:r>
        <w:t xml:space="preserve">Aucune donnée patient n’est stockée dans le code ou la configuration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d’utilisation — Pipeline de filtrage NGS PRELUDE-TSC</dc:title>
  <dc:creator>PRELUDE-TSC / CHU Angers</dc:creator>
  <dc:language>fr</dc:language>
  <cp:keywords/>
  <dcterms:created xsi:type="dcterms:W3CDTF">2026-03-27T15:04:50Z</dcterms:created>
  <dcterms:modified xsi:type="dcterms:W3CDTF">2026-03-27T15:04:50Z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Mars 2026</vt:lpwstr>
  </property>
  <property fmtid="{D5CDD505-2E9C-101B-9397-08002B2CF9AE}" pid="3" name="subtitle">
    <vt:lpwstr>Installation, configuration et exploitation sur serveur Ubuntu</vt:lpwstr>
  </property>
</Properties>
</file>